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 xml:space="preserve"> 编  号：</w:t>
      </w:r>
      <w:bookmarkStart w:id="0" w:name="合同编号"/>
      <w:r>
        <w:rPr>
          <w:b/>
          <w:bCs/>
          <w:sz w:val="24"/>
          <w:szCs w:val="24"/>
        </w:rPr>
        <w:t>0363-2020-QEO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重庆同诚房地产土地资产评估有限公司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O:32.13.01,34.06.00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程蕾</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Q:32.13.01</w:t>
            </w:r>
          </w:p>
          <w:p>
            <w:pPr>
              <w:spacing w:line="240" w:lineRule="exact"/>
              <w:jc w:val="center"/>
              <w:rPr>
                <w:b/>
                <w:color w:val="000000" w:themeColor="text1"/>
                <w:sz w:val="20"/>
                <w:szCs w:val="20"/>
              </w:rPr>
            </w:pPr>
            <w:r>
              <w:rPr>
                <w:b/>
                <w:color w:val="000000" w:themeColor="text1"/>
                <w:sz w:val="20"/>
                <w:szCs w:val="20"/>
              </w:rPr>
              <w:t>E:32.13.01</w:t>
            </w:r>
          </w:p>
          <w:p>
            <w:pPr>
              <w:spacing w:line="240" w:lineRule="exact"/>
              <w:jc w:val="center"/>
              <w:rPr>
                <w:b/>
                <w:color w:val="000000" w:themeColor="text1"/>
                <w:sz w:val="20"/>
                <w:szCs w:val="20"/>
              </w:rPr>
            </w:pPr>
            <w:r>
              <w:rPr>
                <w:b/>
                <w:color w:val="000000" w:themeColor="text1"/>
                <w:sz w:val="20"/>
                <w:szCs w:val="20"/>
              </w:rPr>
              <w:t>O:32.13.01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p>
    <w:p>
      <w:pPr>
        <w:ind w:left="-840" w:leftChars="-400" w:firstLine="0" w:firstLineChars="0"/>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重庆同诚房地产土地资产评估有限公司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55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重庆市北部新区星光大道62号(海王星科技大厦D区9楼3号)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重庆市北部新区星光大道62号(海王星科技大厦D区9楼3号)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邓文斌</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023-63600722</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甘光辉</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甘光辉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邓文斌</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Q：资产评估、房地产估价（一级）、土地评估</w:t>
            </w:r>
          </w:p>
          <w:p>
            <w:pPr>
              <w:spacing w:line="320" w:lineRule="exact"/>
              <w:rPr>
                <w:rFonts w:ascii="宋体" w:hAnsi="宋体"/>
                <w:b/>
                <w:color w:val="000000" w:themeColor="text1"/>
                <w:sz w:val="20"/>
                <w:szCs w:val="20"/>
              </w:rPr>
            </w:pPr>
            <w:r>
              <w:rPr>
                <w:rFonts w:ascii="宋体" w:hAnsi="宋体"/>
                <w:b/>
                <w:color w:val="000000" w:themeColor="text1"/>
                <w:sz w:val="20"/>
                <w:szCs w:val="20"/>
              </w:rPr>
              <w:t>E：资产评估、房地产估价（一级）、土地评估所涉及的相关环境管理活动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O：资产评估、房地产估价（一级）、土地评估所涉及的相关职业健康安全管理活动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Q：32.13.01;34.06.00</w:t>
            </w:r>
          </w:p>
          <w:p>
            <w:pPr>
              <w:spacing w:line="320" w:lineRule="exact"/>
              <w:rPr>
                <w:rFonts w:ascii="宋体" w:hAnsi="宋体"/>
                <w:b/>
                <w:color w:val="000000" w:themeColor="text1"/>
                <w:sz w:val="20"/>
                <w:szCs w:val="20"/>
              </w:rPr>
            </w:pPr>
            <w:r>
              <w:rPr>
                <w:rFonts w:ascii="宋体" w:hAnsi="宋体"/>
                <w:b/>
                <w:color w:val="000000" w:themeColor="text1"/>
                <w:sz w:val="20"/>
                <w:szCs w:val="20"/>
              </w:rPr>
              <w:t>E：32.13.01;34.06.00</w:t>
            </w:r>
          </w:p>
          <w:p>
            <w:pPr>
              <w:spacing w:line="320" w:lineRule="exact"/>
              <w:rPr>
                <w:rFonts w:ascii="宋体" w:hAnsi="宋体"/>
                <w:b/>
                <w:color w:val="000000" w:themeColor="text1"/>
                <w:sz w:val="20"/>
                <w:szCs w:val="20"/>
              </w:rPr>
            </w:pPr>
            <w:r>
              <w:rPr>
                <w:rFonts w:ascii="宋体" w:hAnsi="宋体"/>
                <w:b/>
                <w:color w:val="000000" w:themeColor="text1"/>
                <w:sz w:val="20"/>
                <w:szCs w:val="20"/>
              </w:rPr>
              <w:t>O：32.13.01;34.06.00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2019-08-01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行政与人力资源部</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含财务部）</w:t>
            </w:r>
            <w:bookmarkStart w:id="23" w:name="_GoBack"/>
            <w:bookmarkEnd w:id="23"/>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市场部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顾客满意度</w:t>
            </w: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bCs w:val="0"/>
                <w:color w:val="000000"/>
                <w:sz w:val="20"/>
                <w:szCs w:val="20"/>
              </w:rPr>
              <w:t>评估部</w:t>
            </w:r>
            <w:r>
              <w:rPr>
                <w:rFonts w:hint="eastAsia" w:ascii="宋体" w:hAnsi="宋体"/>
                <w:b/>
                <w:bCs w:val="0"/>
                <w:color w:val="000000"/>
                <w:sz w:val="20"/>
                <w:szCs w:val="20"/>
                <w:lang w:eastAsia="zh-CN"/>
              </w:rPr>
              <w:t>、</w:t>
            </w:r>
            <w:r>
              <w:rPr>
                <w:rFonts w:hint="eastAsia" w:ascii="宋体" w:hAnsi="宋体"/>
                <w:b/>
                <w:bCs w:val="0"/>
                <w:color w:val="000000"/>
                <w:sz w:val="20"/>
                <w:szCs w:val="20"/>
              </w:rPr>
              <w:t>标准监管部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不合格品控制；监视和测量设备管理；产品验收管理；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rPr>
          <w:rFonts w:hint="eastAsia"/>
          <w:b/>
          <w:color w:val="000000" w:themeColor="text1"/>
          <w:spacing w:val="-6"/>
          <w:szCs w:val="21"/>
        </w:rPr>
      </w:pPr>
    </w:p>
    <w:p>
      <w:pPr>
        <w:ind w:left="-840" w:leftChars="-400" w:firstLine="0" w:firstLineChars="0"/>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sz w:val="20"/>
                <w:szCs w:val="20"/>
              </w:rPr>
              <w:t>资产评估、房地产估价（一级）、土地评估</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val="0"/>
                <w:bCs/>
                <w:sz w:val="20"/>
              </w:rPr>
              <w:t>《</w:t>
            </w:r>
            <w:r>
              <w:rPr>
                <w:rFonts w:hint="eastAsia" w:ascii="Times New Roman" w:hAnsi="Times New Roman" w:cs="Times New Roman"/>
                <w:b w:val="0"/>
                <w:bCs/>
                <w:sz w:val="20"/>
                <w:szCs w:val="22"/>
              </w:rPr>
              <w:t>城镇土地估价规程》（GB/T 18508--2014）《城镇土地分等定级规程》（GB/T 18507-2014）《土地利用现状分类》GB/T 21010-2017《房地产估价规范》（GB/T50291—2015）《房地产估价基本术语标准》（GB/T50899-2013）《城市用地分类与规划建设用地标准》（GB50137-2011）《中华人民共和国物权法》《中华人民共和国资产评估法》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日至</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w:t>
            </w:r>
            <w:r>
              <w:rPr>
                <w:rFonts w:hint="eastAsia" w:asciiTheme="minorEastAsia" w:hAnsiTheme="minorEastAsia" w:eastAsiaTheme="minorEastAsia" w:cstheme="minorEastAsia"/>
                <w:szCs w:val="21"/>
              </w:rPr>
              <w:t>现有员工</w:t>
            </w:r>
            <w:r>
              <w:rPr>
                <w:rFonts w:hint="eastAsia" w:asciiTheme="minorEastAsia" w:hAnsiTheme="minorEastAsia" w:eastAsiaTheme="minorEastAsia" w:cstheme="minorEastAsia"/>
                <w:szCs w:val="21"/>
                <w:lang w:val="en-US" w:eastAsia="zh-CN"/>
              </w:rPr>
              <w:t>55</w:t>
            </w:r>
            <w:r>
              <w:rPr>
                <w:rFonts w:hint="eastAsia" w:asciiTheme="minorEastAsia" w:hAnsiTheme="minorEastAsia" w:eastAsiaTheme="minorEastAsia" w:cstheme="minorEastAsia"/>
                <w:szCs w:val="21"/>
              </w:rPr>
              <w:t>人，目前经营情况良好</w:t>
            </w:r>
            <w:r>
              <w:rPr>
                <w:rFonts w:hint="eastAsia" w:ascii="宋体" w:hAnsi="宋体"/>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pPr>
            <w:r>
              <w:t>3.</w:t>
            </w:r>
            <w:r>
              <w:rPr>
                <w:rFonts w:hint="eastAsia"/>
              </w:rPr>
              <w:t>■质量/■环境/■职业健康安全方针（组织方针的适宜性/持续适宜性、方针的传达及职工的理解等）</w:t>
            </w:r>
          </w:p>
          <w:p>
            <w:pPr>
              <w:rPr>
                <w:rFonts w:hint="eastAsia" w:asciiTheme="minorEastAsia" w:hAnsiTheme="minorEastAsia" w:eastAsiaTheme="minorEastAsia" w:cstheme="minorEastAsia"/>
                <w:b w:val="0"/>
                <w:bCs w:val="0"/>
                <w:sz w:val="21"/>
                <w:szCs w:val="21"/>
                <w:lang w:val="en-US" w:eastAsia="zh-CN"/>
              </w:rPr>
            </w:pPr>
            <w:r>
              <w:rPr>
                <w:rFonts w:hint="eastAsia"/>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b w:val="0"/>
                <w:bCs w:val="0"/>
                <w:sz w:val="21"/>
                <w:szCs w:val="21"/>
              </w:rPr>
              <w:t>质量</w:t>
            </w:r>
            <w:r>
              <w:rPr>
                <w:rFonts w:hint="eastAsia" w:asciiTheme="minorEastAsia" w:hAnsiTheme="minorEastAsia" w:eastAsiaTheme="minorEastAsia" w:cstheme="minorEastAsia"/>
                <w:b w:val="0"/>
                <w:bCs w:val="0"/>
                <w:sz w:val="21"/>
                <w:szCs w:val="21"/>
                <w:lang w:val="en-US" w:eastAsia="zh-CN"/>
              </w:rPr>
              <w:t>方针：</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公正 公平 科学 合理</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 xml:space="preserve">优质 高效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责任 专业</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诚信经营、顾客满意、持续改进、以及认真仔细，快速响应，坚守承诺，精益求精,为顾客提供优质的服务。</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环境、职业健康安全</w:t>
            </w:r>
            <w:r>
              <w:rPr>
                <w:rFonts w:hint="eastAsia" w:asciiTheme="minorEastAsia" w:hAnsiTheme="minorEastAsia" w:eastAsiaTheme="minorEastAsia" w:cstheme="minorEastAsia"/>
                <w:b w:val="0"/>
                <w:bCs w:val="0"/>
                <w:sz w:val="21"/>
                <w:szCs w:val="21"/>
              </w:rPr>
              <w:t>方针：</w:t>
            </w:r>
          </w:p>
          <w:p>
            <w:pPr>
              <w:spacing w:line="400" w:lineRule="exact"/>
              <w:jc w:val="left"/>
              <w:rPr>
                <w:rFonts w:ascii="Times New Roman" w:hAnsi="Times New Roman" w:eastAsia="宋体" w:cs="Times New Roman"/>
                <w:kern w:val="2"/>
                <w:sz w:val="21"/>
                <w:szCs w:val="24"/>
                <w:lang w:val="en-US" w:eastAsia="zh-CN" w:bidi="ar-SA"/>
              </w:rPr>
            </w:pPr>
            <w:r>
              <w:rPr>
                <w:rFonts w:hint="eastAsia" w:ascii="宋体" w:hAnsi="宋体"/>
                <w:szCs w:val="21"/>
              </w:rPr>
              <w:t>以人为本</w:t>
            </w:r>
            <w:r>
              <w:rPr>
                <w:rFonts w:hint="eastAsia" w:ascii="宋体" w:hAnsi="宋体"/>
                <w:szCs w:val="21"/>
                <w:lang w:val="en-US" w:eastAsia="zh-CN"/>
              </w:rPr>
              <w:t xml:space="preserve"> </w:t>
            </w:r>
            <w:r>
              <w:rPr>
                <w:rFonts w:hint="eastAsia" w:ascii="宋体" w:hAnsi="宋体"/>
                <w:szCs w:val="21"/>
              </w:rPr>
              <w:t>关爱生命  保护环境  珍惜资源  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eastAsia="宋体" w:cs="Times New Roman"/>
                <w:color w:val="000000" w:themeColor="text1"/>
                <w:kern w:val="2"/>
                <w:sz w:val="21"/>
                <w:szCs w:val="24"/>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w:t>
            </w:r>
            <w:r>
              <w:rPr>
                <w:rFonts w:hint="eastAsia" w:ascii="宋体" w:hAnsi="宋体"/>
                <w:b/>
                <w:color w:val="000000" w:themeColor="text1"/>
                <w:sz w:val="20"/>
                <w:szCs w:val="20"/>
                <w:lang w:val="en-US" w:eastAsia="zh-CN"/>
              </w:rPr>
              <w:t>勘察过程</w:t>
            </w:r>
            <w:r>
              <w:rPr>
                <w:rFonts w:hint="eastAsia" w:ascii="宋体" w:hAnsi="宋体"/>
                <w:b/>
                <w:color w:val="000000" w:themeColor="text1"/>
                <w:sz w:val="20"/>
                <w:szCs w:val="20"/>
              </w:rPr>
              <w:t>、</w:t>
            </w:r>
            <w:r>
              <w:rPr>
                <w:rFonts w:hint="eastAsia" w:ascii="宋体" w:hAnsi="宋体"/>
                <w:b/>
                <w:color w:val="000000" w:themeColor="text1"/>
                <w:sz w:val="20"/>
                <w:szCs w:val="20"/>
                <w:lang w:eastAsia="zh-CN"/>
              </w:rPr>
              <w:t>方案实施、交付</w:t>
            </w:r>
            <w:r>
              <w:rPr>
                <w:rFonts w:hint="eastAsia" w:ascii="宋体" w:hAnsi="宋体"/>
                <w:b/>
                <w:color w:val="000000" w:themeColor="text1"/>
                <w:sz w:val="20"/>
                <w:szCs w:val="20"/>
              </w:rPr>
              <w:t>过程等。</w:t>
            </w:r>
          </w:p>
          <w:p>
            <w:pPr>
              <w:tabs>
                <w:tab w:val="left" w:pos="540"/>
              </w:tabs>
              <w:spacing w:line="300" w:lineRule="exact"/>
              <w:ind w:left="201" w:hanging="201" w:hangingChars="100"/>
              <w:rPr>
                <w:rFonts w:hint="default" w:ascii="宋体" w:hAnsi="宋体" w:eastAsia="宋体" w:cs="Times New Roman"/>
                <w:b/>
                <w:color w:val="000000" w:themeColor="text1"/>
                <w:sz w:val="20"/>
                <w:szCs w:val="20"/>
                <w:highlight w:val="none"/>
                <w:lang w:val="en-US" w:eastAsia="zh-CN"/>
              </w:rPr>
            </w:pPr>
            <w:r>
              <w:rPr>
                <w:rFonts w:hint="eastAsia" w:ascii="宋体" w:hAnsi="宋体"/>
                <w:b/>
                <w:color w:val="000000" w:themeColor="text1"/>
                <w:sz w:val="20"/>
                <w:szCs w:val="20"/>
              </w:rPr>
              <w:t>其中关键</w:t>
            </w:r>
            <w:r>
              <w:rPr>
                <w:rFonts w:hint="eastAsia" w:ascii="宋体" w:hAnsi="宋体"/>
                <w:b/>
                <w:color w:val="000000" w:themeColor="text1"/>
                <w:sz w:val="20"/>
                <w:szCs w:val="20"/>
                <w:highlight w:val="none"/>
              </w:rPr>
              <w:t>过程有：</w:t>
            </w:r>
            <w:r>
              <w:rPr>
                <w:rFonts w:hint="eastAsia" w:ascii="宋体" w:hAnsi="宋体"/>
                <w:b/>
                <w:color w:val="000000" w:themeColor="text1"/>
                <w:sz w:val="20"/>
                <w:szCs w:val="20"/>
                <w:lang w:val="en-US" w:eastAsia="zh-CN"/>
              </w:rPr>
              <w:t>勘测</w:t>
            </w:r>
          </w:p>
          <w:p>
            <w:pPr>
              <w:tabs>
                <w:tab w:val="left" w:pos="540"/>
              </w:tabs>
              <w:spacing w:line="300" w:lineRule="exact"/>
              <w:ind w:left="201" w:hanging="201" w:hangingChars="100"/>
              <w:rPr>
                <w:rFonts w:hint="eastAsia" w:ascii="宋体" w:hAnsi="宋体" w:eastAsia="宋体"/>
                <w:b/>
                <w:color w:val="000000" w:themeColor="text1"/>
                <w:sz w:val="20"/>
                <w:szCs w:val="20"/>
                <w:highlight w:val="none"/>
                <w:u w:val="single"/>
                <w:lang w:val="en-US" w:eastAsia="zh-CN"/>
              </w:rPr>
            </w:pPr>
            <w:r>
              <w:rPr>
                <w:rFonts w:hint="eastAsia" w:ascii="宋体" w:hAnsi="宋体" w:cs="Times New Roman"/>
                <w:b/>
                <w:color w:val="000000" w:themeColor="text1"/>
                <w:sz w:val="20"/>
                <w:szCs w:val="20"/>
                <w:highlight w:val="none"/>
              </w:rPr>
              <w:t xml:space="preserve">需要确认过程： </w:t>
            </w:r>
            <w:r>
              <w:rPr>
                <w:rFonts w:hint="eastAsia" w:ascii="宋体" w:hAnsi="宋体" w:cs="Times New Roman"/>
                <w:b/>
                <w:color w:val="000000" w:themeColor="text1"/>
                <w:sz w:val="20"/>
                <w:szCs w:val="20"/>
                <w:highlight w:val="none"/>
                <w:lang w:val="en-US" w:eastAsia="zh-CN"/>
              </w:rPr>
              <w:t>无</w:t>
            </w:r>
          </w:p>
          <w:p>
            <w:pPr>
              <w:tabs>
                <w:tab w:val="left" w:pos="1080"/>
              </w:tabs>
              <w:spacing w:line="400" w:lineRule="exact"/>
              <w:rPr>
                <w:rFonts w:hint="default"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rPr>
              <w:t xml:space="preserve"> </w:t>
            </w:r>
            <w:r>
              <w:rPr>
                <w:rFonts w:hint="eastAsia" w:ascii="宋体" w:hAnsi="宋体" w:cs="Times New Roman"/>
                <w:b/>
                <w:color w:val="000000" w:themeColor="text1"/>
                <w:sz w:val="20"/>
                <w:szCs w:val="20"/>
                <w:highlight w:val="none"/>
                <w:u w:val="single"/>
                <w:lang w:val="en-US" w:eastAsia="zh-CN"/>
              </w:rPr>
              <w:t>8.3</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r>
              <w:rPr>
                <w:rFonts w:hint="eastAsia" w:ascii="宋体" w:hAnsi="宋体"/>
                <w:color w:val="000000"/>
                <w:szCs w:val="21"/>
                <w:highlight w:val="none"/>
                <w:u w:val="single"/>
                <w:lang w:eastAsia="zh-CN"/>
              </w:rPr>
              <w:t>服公司评估、鉴定的服务为常规服务未涉及设计开发过程。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0"/>
                <w:szCs w:val="20"/>
                <w:lang w:val="en-US" w:eastAsia="zh-CN" w:bidi="ar-SA"/>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eastAsia="zh-CN"/>
              </w:rPr>
              <w:t>应急预案和管理方案</w:t>
            </w:r>
            <w:r>
              <w:rPr>
                <w:rFonts w:hint="eastAsia" w:asciiTheme="minorEastAsia" w:hAnsiTheme="minorEastAsia" w:eastAsiaTheme="minorEastAsia"/>
                <w:bCs/>
                <w:iCs/>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tabs>
                <w:tab w:val="left" w:pos="1080"/>
              </w:tabs>
              <w:spacing w:line="400" w:lineRule="exact"/>
              <w:rPr>
                <w:rFonts w:ascii="宋体" w:hAnsi="宋体" w:eastAsia="宋体" w:cs="Times New Roman"/>
                <w:b/>
                <w:color w:val="000000" w:themeColor="text1"/>
                <w:spacing w:val="-8"/>
                <w:kern w:val="2"/>
                <w:sz w:val="20"/>
                <w:szCs w:val="20"/>
                <w:lang w:val="en-US" w:eastAsia="zh-CN" w:bidi="ar-SA"/>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ascii="宋体" w:hAnsi="宋体"/>
                <w:color w:val="000000" w:themeColor="text1"/>
              </w:rPr>
              <w:t>火灾、</w:t>
            </w:r>
            <w:r>
              <w:rPr>
                <w:rFonts w:hint="eastAsia" w:ascii="宋体" w:hAnsi="宋体"/>
                <w:color w:val="000000" w:themeColor="text1"/>
                <w:lang w:eastAsia="zh-CN"/>
              </w:rPr>
              <w:t>触电、</w:t>
            </w:r>
            <w:r>
              <w:rPr>
                <w:rFonts w:hint="eastAsia" w:ascii="宋体" w:hAnsi="宋体"/>
                <w:color w:val="000000" w:themeColor="text1"/>
                <w:lang w:val="en-US" w:eastAsia="zh-CN"/>
              </w:rPr>
              <w:t>交通重大伤亡事故</w:t>
            </w:r>
            <w:r>
              <w:rPr>
                <w:rFonts w:hint="eastAsia" w:ascii="Times New Roman" w:hAnsi="Times New Roman" w:cs="Times New Roman"/>
                <w:szCs w:val="21"/>
                <w:highlight w:val="none"/>
                <w:lang w:eastAsia="zh-CN"/>
              </w:rPr>
              <w:t>，与之相关的过程有合同评审、</w:t>
            </w:r>
            <w:r>
              <w:rPr>
                <w:rFonts w:hint="eastAsia" w:ascii="Times New Roman" w:hAnsi="Times New Roman" w:cs="Times New Roman"/>
                <w:szCs w:val="21"/>
                <w:highlight w:val="none"/>
                <w:lang w:val="en-US" w:eastAsia="zh-CN"/>
              </w:rPr>
              <w:t>勘察过程</w:t>
            </w:r>
            <w:r>
              <w:rPr>
                <w:rFonts w:hint="eastAsia" w:ascii="Times New Roman" w:hAnsi="Times New Roman" w:cs="Times New Roman"/>
                <w:szCs w:val="21"/>
                <w:highlight w:val="none"/>
                <w:lang w:eastAsia="zh-CN"/>
              </w:rPr>
              <w:t>、方案实施、交付过程</w:t>
            </w:r>
            <w:r>
              <w:rPr>
                <w:rFonts w:hint="eastAsia" w:ascii="宋体" w:hAnsi="宋体" w:cs="Times New Roman"/>
                <w:color w:val="000000" w:themeColor="text1"/>
              </w:rPr>
              <w:t>，针对</w:t>
            </w:r>
            <w:r>
              <w:rPr>
                <w:rFonts w:hint="eastAsia" w:ascii="宋体" w:hAnsi="宋体"/>
                <w:color w:val="000000" w:themeColor="text1"/>
              </w:rPr>
              <w:t>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2020年1月-2020年8月）</w:t>
            </w:r>
          </w:p>
          <w:p>
            <w:pPr>
              <w:numPr>
                <w:ilvl w:val="0"/>
                <w:numId w:val="0"/>
              </w:numPr>
              <w:ind w:left="0" w:leftChars="0" w:firstLine="0" w:firstLineChars="0"/>
              <w:rPr>
                <w:rFonts w:hint="default" w:ascii="宋体" w:hAnsi="宋体" w:eastAsia="宋体" w:cs="Times New Roman"/>
                <w:b w:val="0"/>
                <w:bCs/>
                <w:color w:val="000000" w:themeColor="text1"/>
                <w:kern w:val="2"/>
                <w:sz w:val="21"/>
                <w:szCs w:val="24"/>
                <w:highlight w:val="none"/>
                <w:lang w:val="en-US" w:eastAsia="zh-CN" w:bidi="ar-SA"/>
              </w:rPr>
            </w:pPr>
            <w:r>
              <w:rPr>
                <w:rFonts w:hint="eastAsia" w:ascii="宋体" w:hAnsi="宋体" w:eastAsia="宋体" w:cs="Times New Roman"/>
                <w:b w:val="0"/>
                <w:bCs/>
                <w:color w:val="000000" w:themeColor="text1"/>
                <w:kern w:val="2"/>
                <w:sz w:val="21"/>
                <w:szCs w:val="24"/>
                <w:lang w:val="en-US" w:eastAsia="zh-CN" w:bidi="ar-SA"/>
              </w:rPr>
              <w:t>1</w:t>
            </w:r>
            <w:r>
              <w:rPr>
                <w:rFonts w:hint="eastAsia" w:ascii="宋体" w:hAnsi="宋体" w:cs="Times New Roman"/>
                <w:b w:val="0"/>
                <w:bCs/>
                <w:color w:val="000000" w:themeColor="text1"/>
                <w:kern w:val="2"/>
                <w:sz w:val="21"/>
                <w:szCs w:val="24"/>
                <w:lang w:val="en-US" w:eastAsia="zh-CN" w:bidi="ar-SA"/>
              </w:rPr>
              <w:t>.</w:t>
            </w:r>
            <w:r>
              <w:rPr>
                <w:rFonts w:hint="eastAsia" w:ascii="宋体" w:hAnsi="宋体" w:eastAsia="宋体" w:cs="Times New Roman"/>
                <w:b w:val="0"/>
                <w:bCs/>
                <w:color w:val="000000" w:themeColor="text1"/>
                <w:kern w:val="2"/>
                <w:sz w:val="21"/>
                <w:szCs w:val="24"/>
                <w:lang w:val="en-US" w:eastAsia="zh-CN" w:bidi="ar-SA"/>
              </w:rPr>
              <w:t>评估业务按时完成率≥98%；</w:t>
            </w:r>
            <w:r>
              <w:rPr>
                <w:rFonts w:hint="eastAsia" w:ascii="宋体" w:hAnsi="宋体" w:cs="Times New Roman"/>
                <w:b w:val="0"/>
                <w:bCs/>
                <w:color w:val="000000" w:themeColor="text1"/>
                <w:kern w:val="2"/>
                <w:sz w:val="21"/>
                <w:szCs w:val="24"/>
                <w:lang w:val="en-US" w:eastAsia="zh-CN" w:bidi="ar-SA"/>
              </w:rPr>
              <w:t xml:space="preserve">                   </w:t>
            </w:r>
            <w:r>
              <w:rPr>
                <w:rFonts w:hint="eastAsia" w:ascii="宋体" w:hAnsi="宋体" w:cs="Times New Roman"/>
                <w:b w:val="0"/>
                <w:bCs/>
                <w:color w:val="000000" w:themeColor="text1"/>
                <w:kern w:val="2"/>
                <w:sz w:val="21"/>
                <w:szCs w:val="24"/>
                <w:highlight w:val="none"/>
                <w:lang w:val="en-US" w:eastAsia="zh-CN" w:bidi="ar-SA"/>
              </w:rPr>
              <w:t xml:space="preserve">   100%  </w:t>
            </w:r>
          </w:p>
          <w:p>
            <w:pPr>
              <w:numPr>
                <w:ilvl w:val="0"/>
                <w:numId w:val="0"/>
              </w:numPr>
              <w:ind w:left="0" w:leftChars="0" w:firstLine="0" w:firstLineChars="0"/>
              <w:rPr>
                <w:rFonts w:hint="eastAsia" w:ascii="宋体" w:hAnsi="宋体" w:eastAsia="宋体" w:cs="Times New Roman"/>
                <w:b w:val="0"/>
                <w:bCs/>
                <w:color w:val="000000" w:themeColor="text1"/>
                <w:kern w:val="2"/>
                <w:sz w:val="21"/>
                <w:szCs w:val="24"/>
                <w:highlight w:val="none"/>
                <w:lang w:val="en-US" w:eastAsia="zh-CN" w:bidi="ar-SA"/>
              </w:rPr>
            </w:pPr>
            <w:r>
              <w:rPr>
                <w:rFonts w:hint="eastAsia" w:ascii="宋体" w:hAnsi="宋体" w:eastAsia="宋体" w:cs="Times New Roman"/>
                <w:b w:val="0"/>
                <w:bCs/>
                <w:color w:val="000000" w:themeColor="text1"/>
                <w:kern w:val="2"/>
                <w:sz w:val="21"/>
                <w:szCs w:val="24"/>
                <w:highlight w:val="none"/>
                <w:lang w:val="en-US" w:eastAsia="zh-CN" w:bidi="ar-SA"/>
              </w:rPr>
              <w:t>2</w:t>
            </w:r>
            <w:r>
              <w:rPr>
                <w:rFonts w:hint="eastAsia" w:ascii="宋体" w:hAnsi="宋体" w:cs="Times New Roman"/>
                <w:b w:val="0"/>
                <w:bCs/>
                <w:color w:val="000000" w:themeColor="text1"/>
                <w:kern w:val="2"/>
                <w:sz w:val="21"/>
                <w:szCs w:val="24"/>
                <w:highlight w:val="none"/>
                <w:lang w:val="en-US" w:eastAsia="zh-CN" w:bidi="ar-SA"/>
              </w:rPr>
              <w:t>.</w:t>
            </w:r>
            <w:r>
              <w:rPr>
                <w:rFonts w:hint="eastAsia" w:ascii="宋体" w:hAnsi="宋体" w:eastAsia="宋体" w:cs="Times New Roman"/>
                <w:b w:val="0"/>
                <w:bCs/>
                <w:color w:val="000000" w:themeColor="text1"/>
                <w:kern w:val="2"/>
                <w:sz w:val="21"/>
                <w:szCs w:val="24"/>
                <w:highlight w:val="none"/>
                <w:lang w:val="en-US" w:eastAsia="zh-CN" w:bidi="ar-SA"/>
              </w:rPr>
              <w:t>顾客满意度≥90%，并逐年上升。</w:t>
            </w:r>
            <w:r>
              <w:rPr>
                <w:rFonts w:hint="eastAsia" w:ascii="宋体" w:hAnsi="宋体" w:cs="Times New Roman"/>
                <w:b w:val="0"/>
                <w:bCs/>
                <w:color w:val="000000" w:themeColor="text1"/>
                <w:kern w:val="2"/>
                <w:sz w:val="21"/>
                <w:szCs w:val="24"/>
                <w:highlight w:val="none"/>
                <w:lang w:val="en-US" w:eastAsia="zh-CN" w:bidi="ar-SA"/>
              </w:rPr>
              <w:t xml:space="preserve">                   98% </w:t>
            </w:r>
          </w:p>
          <w:p>
            <w:pPr>
              <w:numPr>
                <w:ilvl w:val="0"/>
                <w:numId w:val="0"/>
              </w:numPr>
              <w:ind w:left="0" w:leftChars="0" w:firstLine="0" w:firstLineChars="0"/>
              <w:rPr>
                <w:rFonts w:hint="default" w:ascii="宋体" w:hAnsi="宋体" w:eastAsia="宋体" w:cs="Times New Roman"/>
                <w:b w:val="0"/>
                <w:bCs/>
                <w:color w:val="000000" w:themeColor="text1"/>
                <w:kern w:val="2"/>
                <w:sz w:val="21"/>
                <w:szCs w:val="24"/>
                <w:highlight w:val="none"/>
                <w:lang w:val="en-US" w:eastAsia="zh-CN" w:bidi="ar-SA"/>
              </w:rPr>
            </w:pPr>
            <w:r>
              <w:rPr>
                <w:rFonts w:hint="eastAsia" w:ascii="宋体" w:hAnsi="宋体" w:cs="Times New Roman"/>
                <w:b w:val="0"/>
                <w:bCs/>
                <w:color w:val="000000" w:themeColor="text1"/>
                <w:kern w:val="2"/>
                <w:sz w:val="21"/>
                <w:szCs w:val="24"/>
                <w:highlight w:val="none"/>
                <w:lang w:val="en-US" w:eastAsia="zh-CN" w:bidi="ar-SA"/>
              </w:rPr>
              <w:t>3.</w:t>
            </w:r>
            <w:r>
              <w:rPr>
                <w:rFonts w:hint="eastAsia" w:ascii="宋体" w:hAnsi="宋体" w:eastAsia="宋体" w:cs="Times New Roman"/>
                <w:b w:val="0"/>
                <w:bCs/>
                <w:color w:val="000000" w:themeColor="text1"/>
                <w:kern w:val="2"/>
                <w:sz w:val="21"/>
                <w:szCs w:val="24"/>
                <w:highlight w:val="none"/>
                <w:lang w:val="en-US" w:eastAsia="zh-CN" w:bidi="ar-SA"/>
              </w:rPr>
              <w:t>固废回收处理率100%；</w:t>
            </w:r>
            <w:r>
              <w:rPr>
                <w:rFonts w:hint="eastAsia" w:ascii="宋体" w:hAnsi="宋体" w:cs="Times New Roman"/>
                <w:b w:val="0"/>
                <w:bCs/>
                <w:color w:val="000000" w:themeColor="text1"/>
                <w:kern w:val="2"/>
                <w:sz w:val="21"/>
                <w:szCs w:val="24"/>
                <w:highlight w:val="none"/>
                <w:lang w:val="en-US" w:eastAsia="zh-CN" w:bidi="ar-SA"/>
              </w:rPr>
              <w:t xml:space="preserve">                           100%</w:t>
            </w:r>
          </w:p>
          <w:p>
            <w:pPr>
              <w:numPr>
                <w:ilvl w:val="0"/>
                <w:numId w:val="0"/>
              </w:numPr>
              <w:ind w:left="0" w:leftChars="0" w:firstLine="0" w:firstLineChars="0"/>
              <w:rPr>
                <w:rFonts w:hint="eastAsia" w:ascii="宋体" w:hAnsi="宋体" w:eastAsia="宋体" w:cs="Times New Roman"/>
                <w:b w:val="0"/>
                <w:bCs/>
                <w:color w:val="000000" w:themeColor="text1"/>
                <w:kern w:val="2"/>
                <w:sz w:val="21"/>
                <w:szCs w:val="24"/>
                <w:highlight w:val="none"/>
                <w:lang w:val="en-US" w:eastAsia="zh-CN" w:bidi="ar-SA"/>
              </w:rPr>
            </w:pPr>
            <w:r>
              <w:rPr>
                <w:rFonts w:hint="eastAsia" w:ascii="宋体" w:hAnsi="宋体" w:cs="Times New Roman"/>
                <w:b w:val="0"/>
                <w:bCs/>
                <w:color w:val="000000" w:themeColor="text1"/>
                <w:kern w:val="2"/>
                <w:sz w:val="21"/>
                <w:szCs w:val="24"/>
                <w:highlight w:val="none"/>
                <w:lang w:val="en-US" w:eastAsia="zh-CN" w:bidi="ar-SA"/>
              </w:rPr>
              <w:t>4.</w:t>
            </w:r>
            <w:r>
              <w:rPr>
                <w:rFonts w:hint="eastAsia" w:ascii="宋体" w:hAnsi="宋体" w:eastAsia="宋体" w:cs="Times New Roman"/>
                <w:b w:val="0"/>
                <w:bCs/>
                <w:color w:val="000000" w:themeColor="text1"/>
                <w:kern w:val="2"/>
                <w:sz w:val="21"/>
                <w:szCs w:val="24"/>
                <w:highlight w:val="none"/>
                <w:lang w:val="en-US" w:eastAsia="zh-CN" w:bidi="ar-SA"/>
              </w:rPr>
              <w:t>火灾事故发生为0；</w:t>
            </w:r>
            <w:r>
              <w:rPr>
                <w:rFonts w:hint="eastAsia" w:ascii="宋体" w:hAnsi="宋体" w:cs="Times New Roman"/>
                <w:b w:val="0"/>
                <w:bCs/>
                <w:color w:val="000000" w:themeColor="text1"/>
                <w:kern w:val="2"/>
                <w:sz w:val="21"/>
                <w:szCs w:val="24"/>
                <w:highlight w:val="none"/>
                <w:lang w:val="en-US" w:eastAsia="zh-CN" w:bidi="ar-SA"/>
              </w:rPr>
              <w:t xml:space="preserve">                                0  </w:t>
            </w:r>
          </w:p>
          <w:p>
            <w:pPr>
              <w:numPr>
                <w:ilvl w:val="0"/>
                <w:numId w:val="0"/>
              </w:numPr>
              <w:ind w:left="0" w:leftChars="0" w:firstLine="0" w:firstLineChars="0"/>
              <w:rPr>
                <w:rFonts w:ascii="宋体" w:hAnsi="宋体" w:eastAsia="宋体" w:cs="Times New Roman"/>
                <w:b/>
                <w:color w:val="000000" w:themeColor="text1"/>
                <w:kern w:val="2"/>
                <w:sz w:val="21"/>
                <w:szCs w:val="24"/>
                <w:lang w:val="en-US" w:eastAsia="zh-CN" w:bidi="ar-SA"/>
              </w:rPr>
            </w:pPr>
            <w:r>
              <w:rPr>
                <w:rFonts w:hint="eastAsia" w:ascii="宋体" w:hAnsi="宋体" w:cs="Times New Roman"/>
                <w:b w:val="0"/>
                <w:bCs/>
                <w:color w:val="000000" w:themeColor="text1"/>
                <w:kern w:val="2"/>
                <w:sz w:val="21"/>
                <w:szCs w:val="24"/>
                <w:highlight w:val="none"/>
                <w:lang w:val="en-US" w:eastAsia="zh-CN" w:bidi="ar-SA"/>
              </w:rPr>
              <w:t>5.</w:t>
            </w:r>
            <w:r>
              <w:rPr>
                <w:rFonts w:hint="eastAsia" w:ascii="宋体" w:hAnsi="宋体" w:eastAsia="宋体" w:cs="Times New Roman"/>
                <w:b w:val="0"/>
                <w:bCs/>
                <w:color w:val="000000" w:themeColor="text1"/>
                <w:kern w:val="2"/>
                <w:sz w:val="21"/>
                <w:szCs w:val="24"/>
                <w:highlight w:val="none"/>
                <w:lang w:val="en-US" w:eastAsia="zh-CN" w:bidi="ar-SA"/>
              </w:rPr>
              <w:t>意外伤害率0。</w:t>
            </w:r>
            <w:r>
              <w:rPr>
                <w:rFonts w:hint="eastAsia" w:ascii="宋体" w:hAnsi="宋体" w:cs="Times New Roman"/>
                <w:b w:val="0"/>
                <w:bCs/>
                <w:color w:val="000000" w:themeColor="text1"/>
                <w:kern w:val="2"/>
                <w:sz w:val="21"/>
                <w:szCs w:val="24"/>
                <w:highlight w:val="none"/>
                <w:lang w:val="en-US" w:eastAsia="zh-CN" w:bidi="ar-SA"/>
              </w:rPr>
              <w:t xml:space="preserv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资产评估、房地产估价（一级）、土地评估的</w:t>
            </w:r>
            <w:r>
              <w:rPr>
                <w:rFonts w:hint="eastAsia" w:ascii="宋体" w:hAnsi="宋体"/>
                <w:bCs/>
                <w:iCs/>
                <w:szCs w:val="22"/>
              </w:rPr>
              <w:t>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eastAsia="宋体" w:cs="Times New Roman"/>
                <w:b/>
                <w:color w:val="000000" w:themeColor="text1"/>
                <w:kern w:val="2"/>
                <w:sz w:val="20"/>
                <w:szCs w:val="20"/>
                <w:lang w:val="en-US" w:eastAsia="zh-CN" w:bidi="ar-SA"/>
              </w:rPr>
            </w:pPr>
            <w:r>
              <w:rPr>
                <w:rFonts w:hint="eastAsia" w:ascii="宋体" w:hAnsi="宋体"/>
                <w:szCs w:val="21"/>
                <w:highlight w:val="none"/>
                <w:lang w:val="en-US" w:eastAsia="zh-CN"/>
              </w:rPr>
              <w:t>公司拥有</w:t>
            </w:r>
            <w:r>
              <w:rPr>
                <w:rFonts w:hint="eastAsia" w:ascii="宋体" w:hAnsi="宋体" w:cs="Times New Roman"/>
                <w:kern w:val="2"/>
                <w:sz w:val="21"/>
                <w:szCs w:val="21"/>
                <w:highlight w:val="none"/>
                <w:lang w:val="en-US" w:eastAsia="zh-CN" w:bidi="ar-SA"/>
              </w:rPr>
              <w:t>办公</w:t>
            </w:r>
            <w:r>
              <w:rPr>
                <w:rFonts w:hint="eastAsia" w:ascii="宋体" w:hAnsi="宋体" w:eastAsia="宋体" w:cs="Times New Roman"/>
                <w:kern w:val="2"/>
                <w:sz w:val="21"/>
                <w:szCs w:val="21"/>
                <w:highlight w:val="none"/>
                <w:lang w:val="en-US" w:eastAsia="zh-CN" w:bidi="ar-SA"/>
              </w:rPr>
              <w:t>面积</w:t>
            </w:r>
            <w:r>
              <w:rPr>
                <w:rFonts w:hint="eastAsia" w:ascii="宋体" w:hAnsi="宋体" w:cs="Times New Roman"/>
                <w:kern w:val="2"/>
                <w:sz w:val="21"/>
                <w:szCs w:val="21"/>
                <w:highlight w:val="none"/>
                <w:lang w:val="en-US" w:eastAsia="zh-CN" w:bidi="ar-SA"/>
              </w:rPr>
              <w:t>800</w:t>
            </w:r>
            <w:r>
              <w:rPr>
                <w:rFonts w:hint="eastAsia" w:ascii="宋体" w:hAnsi="宋体"/>
                <w:szCs w:val="21"/>
                <w:highlight w:val="none"/>
                <w:lang w:val="en-US" w:eastAsia="zh-CN"/>
              </w:rPr>
              <w:t>平方米</w:t>
            </w:r>
            <w:r>
              <w:rPr>
                <w:rFonts w:hint="eastAsia" w:ascii="宋体" w:hAnsi="宋体" w:cs="宋体"/>
                <w:szCs w:val="21"/>
                <w:highlight w:val="none"/>
              </w:rPr>
              <w:t>，主要</w:t>
            </w:r>
            <w:r>
              <w:rPr>
                <w:rFonts w:hint="eastAsia" w:ascii="宋体" w:hAnsi="宋体" w:cs="宋体"/>
                <w:szCs w:val="21"/>
                <w:highlight w:val="none"/>
                <w:lang w:eastAsia="zh-CN"/>
              </w:rPr>
              <w:t>设备为</w:t>
            </w:r>
            <w:r>
              <w:rPr>
                <w:rFonts w:hint="eastAsia" w:ascii="宋体" w:hAnsi="宋体" w:cs="宋体"/>
                <w:szCs w:val="21"/>
                <w:highlight w:val="none"/>
              </w:rPr>
              <w:t>电脑</w:t>
            </w:r>
            <w:r>
              <w:rPr>
                <w:rFonts w:hint="eastAsia" w:ascii="宋体" w:hAnsi="宋体" w:cs="宋体"/>
                <w:szCs w:val="21"/>
                <w:highlight w:val="none"/>
                <w:lang w:eastAsia="zh-CN"/>
              </w:rPr>
              <w:t>、</w:t>
            </w:r>
            <w:r>
              <w:rPr>
                <w:rFonts w:hint="eastAsia" w:ascii="宋体" w:hAnsi="宋体" w:cs="宋体"/>
                <w:szCs w:val="21"/>
                <w:highlight w:val="none"/>
                <w:lang w:val="en-US" w:eastAsia="zh-CN"/>
              </w:rPr>
              <w:t>服务器、相机、投影仪、测距仪</w:t>
            </w:r>
            <w:r>
              <w:rPr>
                <w:rFonts w:hint="eastAsia" w:ascii="宋体" w:hAnsi="宋体" w:cs="宋体"/>
                <w:szCs w:val="21"/>
                <w:highlight w:val="none"/>
                <w:lang w:eastAsia="zh-CN"/>
              </w:rPr>
              <w:t>及</w:t>
            </w:r>
            <w:r>
              <w:rPr>
                <w:rFonts w:hint="eastAsia" w:ascii="宋体" w:hAnsi="宋体" w:cs="宋体"/>
                <w:szCs w:val="21"/>
                <w:highlight w:val="none"/>
              </w:rPr>
              <w:t>办公设备等，可以满足</w:t>
            </w:r>
            <w:r>
              <w:rPr>
                <w:rFonts w:hint="eastAsia" w:ascii="宋体" w:hAnsi="宋体"/>
                <w:szCs w:val="21"/>
                <w:highlight w:val="none"/>
                <w:lang w:eastAsia="zh-CN"/>
              </w:rPr>
              <w:t>资产评估、房地产估价（一级）、土地评估</w:t>
            </w:r>
            <w:r>
              <w:rPr>
                <w:rFonts w:hint="eastAsia" w:ascii="宋体" w:hAnsi="宋体"/>
                <w:szCs w:val="21"/>
                <w:highlight w:val="none"/>
              </w:rPr>
              <w:t>的</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办公所场设备布置合理，通道畅通，照明设施齐全，均配备了消防设施等设施。办公室明亮，</w:t>
            </w:r>
            <w:r>
              <w:rPr>
                <w:rFonts w:hint="eastAsia" w:ascii="宋体" w:hAnsi="宋体" w:cs="宋体"/>
                <w:szCs w:val="21"/>
                <w:lang w:eastAsia="zh-CN"/>
              </w:rPr>
              <w:t>服务</w:t>
            </w:r>
            <w:r>
              <w:rPr>
                <w:rFonts w:hint="eastAsia" w:ascii="宋体" w:hAnsi="宋体" w:cs="宋体"/>
                <w:szCs w:val="21"/>
              </w:rPr>
              <w:t>场所光线较充足。每月由</w:t>
            </w:r>
            <w:r>
              <w:rPr>
                <w:rFonts w:hint="eastAsia" w:ascii="宋体" w:hAnsi="宋体" w:cs="宋体"/>
                <w:szCs w:val="21"/>
                <w:lang w:eastAsia="zh-CN"/>
              </w:rPr>
              <w:t>行政与人力资源部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监视和测量资源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4"/>
                <w:lang w:val="en-US" w:eastAsia="zh-CN" w:bidi="ar-SA"/>
              </w:rPr>
            </w:pPr>
            <w:r>
              <w:rPr>
                <w:rFonts w:hint="eastAsia"/>
                <w:color w:val="auto"/>
                <w:szCs w:val="21"/>
                <w:highlight w:val="none"/>
                <w:lang w:val="en-US" w:eastAsia="zh-CN"/>
              </w:rPr>
              <w:t>皮尺、测距仪。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eastAsia" w:ascii="宋体" w:hAnsi="宋体" w:eastAsia="宋体" w:cs="Times New Roman"/>
                <w:kern w:val="2"/>
                <w:sz w:val="20"/>
                <w:szCs w:val="20"/>
                <w:lang w:val="en-US" w:eastAsia="zh-CN" w:bidi="ar-SA"/>
              </w:rPr>
            </w:pPr>
            <w:r>
              <w:rPr>
                <w:rFonts w:hint="eastAsia" w:ascii="宋体" w:hAnsi="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cs="Times New Roman"/>
                <w:kern w:val="2"/>
                <w:sz w:val="20"/>
                <w:szCs w:val="20"/>
                <w:lang w:val="en-US" w:eastAsia="zh-CN" w:bidi="ar-SA"/>
              </w:rPr>
            </w:pPr>
            <w:r>
              <w:rPr>
                <w:rFonts w:hint="eastAsia" w:ascii="宋体" w:hAnsi="宋体" w:cs="宋体"/>
                <w:color w:val="000000"/>
                <w:szCs w:val="21"/>
                <w:lang w:eastAsia="zh-CN"/>
              </w:rPr>
              <w:t>配电箱</w:t>
            </w:r>
            <w:r>
              <w:rPr>
                <w:rFonts w:hint="eastAsia" w:ascii="宋体" w:hAnsi="宋体" w:cs="宋体"/>
                <w:color w:val="000000"/>
                <w:szCs w:val="21"/>
              </w:rPr>
              <w:t>、灭火器</w:t>
            </w:r>
            <w:r>
              <w:rPr>
                <w:rFonts w:hint="eastAsia" w:ascii="宋体" w:hAnsi="宋体" w:cs="宋体"/>
                <w:color w:val="000000"/>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0"/>
                <w:szCs w:val="20"/>
                <w:lang w:val="en-US" w:eastAsia="zh-CN" w:bidi="ar-SA"/>
              </w:rPr>
            </w:pPr>
            <w:r>
              <w:rPr>
                <w:rFonts w:hint="eastAsia" w:asciiTheme="minorEastAsia" w:hAnsiTheme="minorEastAsia" w:eastAsiaTheme="minorEastAsia"/>
                <w:bCs/>
                <w:iCs/>
              </w:rPr>
              <w:t>组织重要环境因素为固废的排放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潜在火灾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噪声的排放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资源浪费，与之相关的过程有</w:t>
            </w:r>
            <w:r>
              <w:rPr>
                <w:rFonts w:hint="eastAsia" w:asciiTheme="minorEastAsia" w:hAnsiTheme="minorEastAsia" w:eastAsiaTheme="minorEastAsia"/>
                <w:bCs/>
                <w:iCs/>
                <w:lang w:val="en-US" w:eastAsia="zh-CN"/>
              </w:rPr>
              <w:t>办公过程，查勘过程。</w:t>
            </w:r>
            <w:r>
              <w:rPr>
                <w:rFonts w:hint="eastAsia" w:asciiTheme="minorEastAsia" w:hAnsiTheme="minorEastAsia" w:eastAsiaTheme="minor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eastAsia="zh-CN"/>
              </w:rPr>
              <w:t>应急预案和</w:t>
            </w:r>
            <w:r>
              <w:rPr>
                <w:rFonts w:hint="eastAsia" w:asciiTheme="minorEastAsia" w:hAnsiTheme="minorEastAsia" w:eastAsiaTheme="minorEastAsia"/>
                <w:bCs/>
                <w:iCs/>
                <w:lang w:val="en-US" w:eastAsia="zh-CN"/>
              </w:rPr>
              <w:t>固废</w:t>
            </w:r>
            <w:r>
              <w:rPr>
                <w:rFonts w:hint="eastAsia" w:asciiTheme="minorEastAsia" w:hAnsiTheme="minorEastAsia" w:eastAsiaTheme="minorEastAsia"/>
                <w:bCs/>
                <w:iCs/>
                <w:lang w:eastAsia="zh-CN"/>
              </w:rPr>
              <w:t>管理方案、</w:t>
            </w:r>
            <w:r>
              <w:rPr>
                <w:rFonts w:hint="eastAsia" w:asciiTheme="minorEastAsia" w:hAnsiTheme="minorEastAsia" w:eastAsiaTheme="minorEastAsia"/>
                <w:bCs/>
                <w:iCs/>
                <w:lang w:val="en-US" w:eastAsia="zh-CN"/>
              </w:rPr>
              <w:t>用水用电管理方案、消防管理方案</w:t>
            </w:r>
            <w:r>
              <w:rPr>
                <w:rFonts w:hint="eastAsia" w:asciiTheme="minorEastAsia" w:hAnsiTheme="minorEastAsia" w:eastAsiaTheme="minorEastAsia"/>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组织建立了危险源识别、评价控制程序，识别评价了危险源、风险相关的过程，评价出了火灾、</w:t>
            </w:r>
            <w:r>
              <w:rPr>
                <w:rFonts w:hint="eastAsia" w:asciiTheme="minorEastAsia" w:hAnsiTheme="minorEastAsia" w:eastAsiaTheme="minorEastAsia"/>
                <w:bCs/>
                <w:iCs/>
                <w:lang w:eastAsia="zh-CN"/>
              </w:rPr>
              <w:t>触电、</w:t>
            </w:r>
            <w:r>
              <w:rPr>
                <w:rFonts w:hint="eastAsia" w:asciiTheme="minorEastAsia" w:hAnsiTheme="minorEastAsia" w:eastAsiaTheme="minorEastAsia"/>
                <w:bCs/>
                <w:iCs/>
                <w:lang w:val="en-US" w:eastAsia="zh-CN"/>
              </w:rPr>
              <w:t>交通重大伤亡事故</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w:t>
            </w:r>
            <w:r>
              <w:rPr>
                <w:rFonts w:hint="eastAsia" w:asciiTheme="minorEastAsia" w:hAnsiTheme="minorEastAsia" w:eastAsiaTheme="minorEastAsia"/>
                <w:bCs/>
                <w:iCs/>
                <w:lang w:val="en-US" w:eastAsia="zh-CN"/>
              </w:rPr>
              <w:t>办公过程，查勘过程。</w:t>
            </w:r>
            <w:r>
              <w:rPr>
                <w:rFonts w:hint="eastAsia" w:asciiTheme="minorEastAsia" w:hAnsiTheme="minorEastAsia" w:eastAsiaTheme="minorEastAsia"/>
                <w:bCs/>
                <w:iCs/>
              </w:rPr>
              <w:t>针对不可接受风险制定了管理方案</w:t>
            </w:r>
            <w:r>
              <w:rPr>
                <w:rFonts w:hint="eastAsia" w:asciiTheme="minorEastAsia" w:hAnsiTheme="minorEastAsia" w:eastAsiaTheme="minorEastAsia"/>
                <w:bCs/>
                <w:iCs/>
                <w:lang w:val="en-US" w:eastAsia="zh-CN"/>
              </w:rPr>
              <w:t>和应急预案</w:t>
            </w:r>
            <w:r>
              <w:rPr>
                <w:rFonts w:hint="eastAsia" w:asciiTheme="minorEastAsia" w:hAnsiTheme="minorEastAsia" w:eastAsiaTheme="minorEastAsia"/>
                <w:bCs/>
                <w:iCs/>
              </w:rPr>
              <w:t>。控制措施实施有效。</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0"/>
                <w:szCs w:val="20"/>
                <w:lang w:val="en-US" w:eastAsia="zh-CN" w:bidi="ar-SA"/>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rFonts w:ascii="Times New Roman" w:hAnsi="Times New Roman" w:eastAsia="宋体" w:cs="Times New Roman"/>
                <w:kern w:val="2"/>
                <w:sz w:val="20"/>
                <w:szCs w:val="20"/>
                <w:lang w:val="en-US" w:eastAsia="zh-CN" w:bidi="ar-SA"/>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rFonts w:ascii="Times New Roman" w:hAnsi="Times New Roman" w:eastAsia="宋体" w:cs="Times New Roman"/>
                <w:b/>
                <w:color w:val="000000" w:themeColor="text1"/>
                <w:kern w:val="2"/>
                <w:sz w:val="20"/>
                <w:szCs w:val="20"/>
                <w:highlight w:val="none"/>
                <w:lang w:val="en-US" w:eastAsia="zh-CN" w:bidi="ar-SA"/>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1月</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2020年8</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rFonts w:ascii="Times New Roman" w:hAnsi="Times New Roman" w:eastAsia="宋体" w:cs="Times New Roman"/>
                <w:b/>
                <w:color w:val="000000" w:themeColor="text1"/>
                <w:kern w:val="2"/>
                <w:sz w:val="20"/>
                <w:szCs w:val="20"/>
                <w:highlight w:val="none"/>
                <w:lang w:val="en-US" w:eastAsia="zh-CN" w:bidi="ar-SA"/>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0"/>
                <w:szCs w:val="20"/>
                <w:lang w:val="en-US" w:eastAsia="zh-CN" w:bidi="ar-SA"/>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6月11日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项，涉及</w:t>
            </w:r>
            <w:r>
              <w:rPr>
                <w:rFonts w:hint="eastAsia"/>
                <w:sz w:val="24"/>
                <w:lang w:eastAsia="zh-CN"/>
              </w:rPr>
              <w:t>行政与人力资源部</w:t>
            </w:r>
            <w:r>
              <w:rPr>
                <w:rFonts w:hint="eastAsia"/>
                <w:sz w:val="24"/>
                <w:lang w:val="en-US" w:eastAsia="zh-CN"/>
              </w:rPr>
              <w:t>QES</w:t>
            </w:r>
            <w:r>
              <w:rPr>
                <w:rFonts w:hint="eastAsia" w:ascii="宋体" w:hAnsi="宋体"/>
                <w:szCs w:val="21"/>
                <w:highlight w:val="none"/>
                <w:lang w:val="en-US" w:eastAsia="zh-CN"/>
              </w:rPr>
              <w:t>7.5.3条“办公室防火安全管理规则”为失效版本，未及时更新</w:t>
            </w:r>
            <w:r>
              <w:rPr>
                <w:rFonts w:hint="eastAsia" w:ascii="宋体" w:hAnsi="宋体"/>
                <w:szCs w:val="21"/>
                <w:highlight w:val="none"/>
              </w:rPr>
              <w:t>，针对该不符合项，已及时采取纠正措施后，经内审员验证关闭。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w:t>
            </w:r>
            <w:r>
              <w:rPr>
                <w:rFonts w:hint="eastAsia" w:ascii="宋体" w:hAnsi="宋体" w:cs="宋体"/>
                <w:szCs w:val="21"/>
                <w:lang w:val="en-US" w:eastAsia="zh-CN"/>
              </w:rPr>
              <w:t>完善</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ascii="Times New Roman" w:hAnsi="Times New Roman" w:eastAsia="宋体" w:cs="Times New Roman"/>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Times New Roman" w:hAnsi="Times New Roman" w:eastAsia="宋体" w:cs="Times New Roman"/>
                <w:b/>
                <w:kern w:val="2"/>
                <w:sz w:val="20"/>
                <w:szCs w:val="20"/>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1 </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 0 </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w:t>
      </w:r>
      <w:r>
        <w:rPr>
          <w:rFonts w:hint="eastAsia"/>
          <w:b/>
          <w:color w:val="000000" w:themeColor="text1"/>
          <w:lang w:val="en-US" w:eastAsia="zh-CN"/>
        </w:rPr>
        <w:t xml:space="preserve">           </w:t>
      </w:r>
      <w:r>
        <w:rPr>
          <w:rFonts w:hint="eastAsia"/>
          <w:b/>
          <w:color w:val="000000" w:themeColor="text1"/>
        </w:rPr>
        <w:t>部门</w:t>
      </w:r>
      <w:r>
        <w:rPr>
          <w:rFonts w:hint="eastAsia"/>
          <w:b/>
          <w:color w:val="000000" w:themeColor="text1"/>
          <w:lang w:val="en-US" w:eastAsia="zh-CN"/>
        </w:rPr>
        <w:t>评估部门Q7.1.5</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rFonts w:ascii="Times New Roman" w:hAnsi="Times New Roman" w:eastAsia="宋体" w:cs="Times New Roman"/>
                <w:b/>
                <w:color w:val="000000" w:themeColor="text1"/>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宋体" w:hAnsi="宋体"/>
                <w:szCs w:val="21"/>
                <w:lang w:eastAsia="zh-CN"/>
              </w:rPr>
            </w:pPr>
            <w:r>
              <w:rPr>
                <w:rFonts w:ascii="宋体" w:hAnsi="宋体"/>
                <w:b/>
                <w:color w:val="000000"/>
                <w:sz w:val="20"/>
                <w:szCs w:val="20"/>
              </w:rPr>
              <w:t>QMS:</w:t>
            </w:r>
            <w:r>
              <w:rPr>
                <w:rFonts w:hint="eastAsia" w:ascii="宋体" w:hAnsi="宋体"/>
                <w:szCs w:val="21"/>
                <w:lang w:eastAsia="zh-CN"/>
              </w:rPr>
              <w:t>资产评估、房地产估价（一级）、土地评估。</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lang w:eastAsia="zh-CN"/>
              </w:rPr>
              <w:t>资产评估、房地产估价（一级）、土地评估</w:t>
            </w:r>
            <w:r>
              <w:rPr>
                <w:rFonts w:hint="eastAsia" w:ascii="宋体" w:hAnsi="宋体"/>
                <w:szCs w:val="21"/>
              </w:rPr>
              <w:t>所涉及的相关环境管理活动</w:t>
            </w:r>
            <w:r>
              <w:rPr>
                <w:rFonts w:hint="eastAsia" w:ascii="宋体" w:hAnsi="宋体"/>
                <w:szCs w:val="21"/>
                <w:lang w:eastAsia="zh-CN"/>
              </w:rPr>
              <w:t>。</w:t>
            </w:r>
          </w:p>
          <w:p>
            <w:pPr>
              <w:jc w:val="both"/>
              <w:rPr>
                <w:rFonts w:ascii="Times New Roman" w:hAnsi="Times New Roman" w:eastAsia="宋体" w:cs="Times New Roman"/>
                <w:b/>
                <w:color w:val="000000" w:themeColor="text1"/>
                <w:spacing w:val="-10"/>
                <w:kern w:val="2"/>
                <w:sz w:val="22"/>
                <w:szCs w:val="22"/>
                <w:lang w:val="en-US" w:eastAsia="zh-CN" w:bidi="ar-SA"/>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lang w:eastAsia="zh-CN"/>
              </w:rPr>
              <w:t>资产评估、房地产估价（一级）、土地评估</w:t>
            </w:r>
            <w:r>
              <w:rPr>
                <w:rFonts w:hint="eastAsia" w:ascii="宋体" w:hAnsi="宋体"/>
                <w:szCs w:val="21"/>
              </w:rPr>
              <w:t>所涉及的相关职业健康安全管理活动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rFonts w:ascii="Times New Roman" w:hAnsi="Times New Roman" w:eastAsia="宋体" w:cs="Times New Roman"/>
                <w:b/>
                <w:color w:val="000000" w:themeColor="text1"/>
                <w:spacing w:val="-10"/>
                <w:kern w:val="2"/>
                <w:sz w:val="16"/>
                <w:szCs w:val="16"/>
                <w:lang w:val="en-US" w:eastAsia="zh-CN" w:bidi="ar-SA"/>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bCs/>
          <w:color w:val="000000" w:themeColor="text1"/>
          <w:szCs w:val="21"/>
          <w:highlight w:val="none"/>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t xml:space="preserve">组长签字:                               日期: </w:t>
      </w:r>
      <w:r>
        <w:rPr>
          <w:rFonts w:hint="eastAsia"/>
          <w:b/>
          <w:color w:val="000000" w:themeColor="text1"/>
          <w:szCs w:val="21"/>
          <w:lang w:val="en-US" w:eastAsia="zh-CN"/>
        </w:rPr>
        <w:t xml:space="preserve">         年    月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F42DAE"/>
    <w:rsid w:val="1625005B"/>
    <w:rsid w:val="20F66988"/>
    <w:rsid w:val="2AE61FA9"/>
    <w:rsid w:val="570510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2020-09-25T03:33:40Z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