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附录A：</w:t>
      </w:r>
    </w:p>
    <w:p>
      <w:pPr>
        <w:pStyle w:val="2"/>
        <w:spacing w:line="240" w:lineRule="auto"/>
        <w:jc w:val="center"/>
        <w:rPr>
          <w:b/>
          <w:bCs/>
          <w:snapToGrid w:val="0"/>
          <w:kern w:val="0"/>
          <w:sz w:val="30"/>
          <w:szCs w:val="30"/>
        </w:rPr>
      </w:pPr>
      <w:r>
        <w:rPr>
          <w:b/>
          <w:bCs/>
          <w:sz w:val="30"/>
          <w:szCs w:val="30"/>
        </w:rPr>
        <w:t>聚</w:t>
      </w:r>
      <w:r>
        <w:rPr>
          <w:rFonts w:hint="eastAsia"/>
          <w:b/>
          <w:bCs/>
          <w:sz w:val="30"/>
          <w:szCs w:val="30"/>
          <w:lang w:val="en-US" w:eastAsia="zh-CN"/>
        </w:rPr>
        <w:t>乙</w:t>
      </w:r>
      <w:r>
        <w:rPr>
          <w:b/>
          <w:bCs/>
          <w:sz w:val="30"/>
          <w:szCs w:val="30"/>
        </w:rPr>
        <w:t>烯管材壁厚尺寸测量</w:t>
      </w:r>
      <w:r>
        <w:rPr>
          <w:b/>
          <w:bCs/>
          <w:snapToGrid w:val="0"/>
          <w:kern w:val="0"/>
          <w:sz w:val="30"/>
          <w:szCs w:val="30"/>
        </w:rPr>
        <w:t>不确定</w:t>
      </w:r>
      <w:r>
        <w:rPr>
          <w:rFonts w:hint="eastAsia"/>
          <w:b/>
          <w:bCs/>
          <w:snapToGrid w:val="0"/>
          <w:kern w:val="0"/>
          <w:sz w:val="30"/>
          <w:szCs w:val="30"/>
          <w:lang w:val="en-US" w:eastAsia="zh-CN"/>
        </w:rPr>
        <w:t>度</w:t>
      </w:r>
      <w:r>
        <w:rPr>
          <w:b/>
          <w:bCs/>
          <w:snapToGrid w:val="0"/>
          <w:kern w:val="0"/>
          <w:sz w:val="30"/>
          <w:szCs w:val="30"/>
        </w:rPr>
        <w:t>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 xml:space="preserve"> GB/T8806-2008《塑料管道系统 塑料部件尺寸的测定》</w:t>
      </w:r>
      <w:r>
        <w:rPr>
          <w:sz w:val="24"/>
        </w:rPr>
        <w:t>及仪器使用说明书和相关操作规范</w:t>
      </w:r>
      <w:r>
        <w:rPr>
          <w:bCs/>
          <w:sz w:val="24"/>
        </w:rPr>
        <w:t>进行测量。</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rFonts w:hint="eastAsia"/>
          <w:color w:val="000000" w:themeColor="text1"/>
          <w:sz w:val="24"/>
          <w14:textFill>
            <w14:solidFill>
              <w14:schemeClr w14:val="tx1"/>
            </w14:solidFill>
          </w14:textFill>
        </w:rPr>
        <w:t>游标</w:t>
      </w:r>
      <w:r>
        <w:rPr>
          <w:color w:val="000000" w:themeColor="text1"/>
          <w:sz w:val="24"/>
          <w14:textFill>
            <w14:solidFill>
              <w14:schemeClr w14:val="tx1"/>
            </w14:solidFill>
          </w14:textFill>
        </w:rPr>
        <w:t>卡尺</w:t>
      </w:r>
      <w:r>
        <w:rPr>
          <w:sz w:val="24"/>
        </w:rPr>
        <w:t>（0~150）mm,最大允许误差±0.02mm</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sz w:val="24"/>
        </w:rPr>
        <w:t>聚</w:t>
      </w:r>
      <w:r>
        <w:rPr>
          <w:rFonts w:hint="eastAsia"/>
          <w:sz w:val="24"/>
          <w:lang w:val="en-US" w:eastAsia="zh-CN"/>
        </w:rPr>
        <w:t>乙</w:t>
      </w:r>
      <w:r>
        <w:rPr>
          <w:sz w:val="24"/>
        </w:rPr>
        <w:t>烯管材壁厚尺寸：</w:t>
      </w:r>
      <w:r>
        <w:rPr>
          <w:rFonts w:hint="eastAsia" w:ascii="Times New Roman" w:hAnsi="Times New Roman" w:cs="Times New Roman"/>
          <w:szCs w:val="21"/>
          <w:lang w:val="en-US" w:eastAsia="zh-CN"/>
        </w:rPr>
        <w:t>14.6</w:t>
      </w:r>
      <w:r>
        <w:rPr>
          <w:rFonts w:ascii="Times New Roman" w:hAnsi="Times New Roman" w:eastAsia="宋体" w:cs="Times New Roman"/>
          <w:position w:val="-12"/>
          <w:szCs w:val="21"/>
        </w:rPr>
        <w:object>
          <v:shape id="_x0000_i1025" o:spt="75" type="#_x0000_t75" style="height:22pt;width:45.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color w:val="000000" w:themeColor="text1"/>
          <w:kern w:val="0"/>
          <w:sz w:val="24"/>
          <w14:textFill>
            <w14:solidFill>
              <w14:schemeClr w14:val="tx1"/>
            </w14:solidFill>
          </w14:textFill>
        </w:rPr>
        <w:t>。</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1.5、测量过程：将被测管件稳固放置，</w:t>
      </w:r>
      <w:r>
        <w:rPr>
          <w:sz w:val="24"/>
        </w:rPr>
        <w:t>将</w:t>
      </w:r>
      <w:r>
        <w:rPr>
          <w:rFonts w:hint="eastAsia"/>
          <w:sz w:val="24"/>
        </w:rPr>
        <w:t>游标</w:t>
      </w:r>
      <w:r>
        <w:rPr>
          <w:sz w:val="24"/>
        </w:rPr>
        <w:t>卡尺对准零位后，测量管材壁厚尺寸，读取</w:t>
      </w:r>
      <w:r>
        <w:rPr>
          <w:rFonts w:hint="eastAsia"/>
          <w:sz w:val="24"/>
        </w:rPr>
        <w:t>游标</w:t>
      </w:r>
      <w:r>
        <w:rPr>
          <w:sz w:val="24"/>
        </w:rPr>
        <w:t>卡尺示值即为管材壁厚尺寸，记录数据，计算平均值</w:t>
      </w:r>
      <w:r>
        <w:rPr>
          <w:bCs/>
          <w:color w:val="000000" w:themeColor="text1"/>
          <w:sz w:val="24"/>
          <w14:textFill>
            <w14:solidFill>
              <w14:schemeClr w14:val="tx1"/>
            </w14:solidFill>
          </w14:textFill>
        </w:rPr>
        <w:t>。</w:t>
      </w:r>
    </w:p>
    <w:p>
      <w:pPr>
        <w:pStyle w:val="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w:rPr>
            <w:rFonts w:ascii="Cambria Math" w:hAnsi="Cambria Math"/>
            <w:position w:val="-4"/>
            <w:sz w:val="24"/>
          </w:rPr>
          <m:t>ΔL=L</m:t>
        </m:r>
      </m:oMath>
      <w:r>
        <w:rPr>
          <w:sz w:val="24"/>
        </w:rPr>
        <w:t xml:space="preserve">                                     （1）</w:t>
      </w:r>
    </w:p>
    <w:p>
      <w:pPr>
        <w:spacing w:line="360" w:lineRule="auto"/>
        <w:ind w:firstLine="720" w:firstLineChars="300"/>
        <w:rPr>
          <w:sz w:val="24"/>
        </w:rPr>
      </w:pPr>
      <w:r>
        <w:rPr>
          <w:sz w:val="24"/>
        </w:rPr>
        <w:t>式中：</w:t>
      </w:r>
      <m:oMath>
        <m:r>
          <w:rPr>
            <w:rFonts w:ascii="Cambria Math" w:hAnsi="Cambria Math"/>
            <w:position w:val="-4"/>
            <w:sz w:val="24"/>
          </w:rPr>
          <m:t>ΔL</m:t>
        </m:r>
      </m:oMath>
      <w:r>
        <w:rPr>
          <w:sz w:val="24"/>
        </w:rPr>
        <w:t xml:space="preserve"> ---管材壁厚</w:t>
      </w:r>
      <w:r>
        <w:rPr>
          <w:kern w:val="0"/>
          <w:sz w:val="24"/>
        </w:rPr>
        <w:t>测量结果</w:t>
      </w:r>
    </w:p>
    <w:p>
      <w:pPr>
        <w:pStyle w:val="7"/>
        <w:spacing w:line="360" w:lineRule="auto"/>
        <w:ind w:firstLine="1440" w:firstLineChars="600"/>
        <w:rPr>
          <w:sz w:val="24"/>
        </w:rPr>
      </w:pPr>
      <w:r>
        <w:rPr>
          <w:sz w:val="24"/>
        </w:rPr>
        <w:t>L----管材壁厚读数值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6" o:spt="75" type="#_x0000_t75" style="height:16.45pt;width:12.2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
          <w:bCs/>
          <w:sz w:val="24"/>
        </w:rPr>
        <w:t>；</w:t>
      </w:r>
      <w:r>
        <w:rPr>
          <w:bCs/>
          <w:sz w:val="24"/>
        </w:rPr>
        <w:t>测量设备</w:t>
      </w:r>
      <w:r>
        <w:rPr>
          <w:sz w:val="24"/>
        </w:rPr>
        <w:t>引入的标准不确定度</w:t>
      </w:r>
      <w:r>
        <w:rPr>
          <w:position w:val="-10"/>
          <w:sz w:val="24"/>
        </w:rPr>
        <w:object>
          <v:shape id="_x0000_i1027" o:spt="75" type="#_x0000_t75" style="height:16.45pt;width:12.7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bCs/>
          <w:sz w:val="24"/>
        </w:rPr>
        <w:t>。</w:t>
      </w:r>
    </w:p>
    <w:p>
      <w:pPr>
        <w:rPr>
          <w:sz w:val="24"/>
        </w:rPr>
      </w:pPr>
      <w:r>
        <w:rPr>
          <w:sz w:val="24"/>
        </w:rPr>
        <w:t>3.1测量重复性引起的标准不确定度</w:t>
      </w:r>
      <w:r>
        <w:rPr>
          <w:position w:val="-10"/>
          <w:sz w:val="24"/>
        </w:rPr>
        <w:object>
          <v:shape id="_x0000_i1028" o:spt="75" type="#_x0000_t75" style="height:16.45pt;width:12.25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做A类评定测量：在游标卡尺正常工作状态下，同一组人，用同一台设备，在相临近的时间内，对被测试件连续测量10次，得10个测量数据汇于表1：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sz w:val="24"/>
              </w:rPr>
            </w:pPr>
            <w:r>
              <w:rPr>
                <w:sz w:val="24"/>
              </w:rPr>
              <w:t>序号</w:t>
            </w:r>
          </w:p>
        </w:tc>
        <w:tc>
          <w:tcPr>
            <w:tcW w:w="773"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773" w:type="dxa"/>
            <w:vAlign w:val="center"/>
          </w:tcPr>
          <w:p>
            <w:pPr>
              <w:widowControl/>
              <w:adjustRightInd w:val="0"/>
              <w:spacing w:line="360" w:lineRule="auto"/>
              <w:ind w:left="252"/>
              <w:jc w:val="center"/>
              <w:rPr>
                <w:sz w:val="24"/>
              </w:rPr>
            </w:pPr>
            <w:r>
              <w:rPr>
                <w:sz w:val="24"/>
              </w:rPr>
              <w:t>3</w:t>
            </w:r>
          </w:p>
        </w:tc>
        <w:tc>
          <w:tcPr>
            <w:tcW w:w="773" w:type="dxa"/>
            <w:vAlign w:val="center"/>
          </w:tcPr>
          <w:p>
            <w:pPr>
              <w:widowControl/>
              <w:adjustRightInd w:val="0"/>
              <w:spacing w:line="360" w:lineRule="auto"/>
              <w:ind w:firstLine="120" w:firstLineChars="50"/>
              <w:jc w:val="center"/>
              <w:rPr>
                <w:sz w:val="24"/>
              </w:rPr>
            </w:pPr>
            <w:r>
              <w:rPr>
                <w:sz w:val="24"/>
              </w:rPr>
              <w:t>4</w:t>
            </w:r>
          </w:p>
        </w:tc>
        <w:tc>
          <w:tcPr>
            <w:tcW w:w="773"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sz w:val="24"/>
              </w:rPr>
            </w:pPr>
            <w:r>
              <w:rPr>
                <w:sz w:val="24"/>
              </w:rPr>
              <w:t>L读数值(mm)</w:t>
            </w:r>
          </w:p>
        </w:tc>
        <w:tc>
          <w:tcPr>
            <w:tcW w:w="773" w:type="dxa"/>
            <w:vAlign w:val="center"/>
          </w:tcPr>
          <w:p>
            <w:pPr>
              <w:widowControl/>
              <w:jc w:val="center"/>
              <w:rPr>
                <w:rFonts w:hint="default" w:eastAsia="宋体"/>
                <w:kern w:val="0"/>
                <w:sz w:val="24"/>
                <w:lang w:val="en-US" w:eastAsia="zh-CN"/>
              </w:rPr>
            </w:pPr>
            <w:r>
              <w:rPr>
                <w:rFonts w:hint="eastAsia"/>
                <w:kern w:val="0"/>
                <w:sz w:val="24"/>
                <w:lang w:val="en-US" w:eastAsia="zh-CN"/>
              </w:rPr>
              <w:t>14.80</w:t>
            </w:r>
          </w:p>
        </w:tc>
        <w:tc>
          <w:tcPr>
            <w:tcW w:w="773" w:type="dxa"/>
            <w:vAlign w:val="center"/>
          </w:tcPr>
          <w:p>
            <w:pPr>
              <w:widowControl/>
              <w:jc w:val="center"/>
              <w:rPr>
                <w:rFonts w:hint="default"/>
                <w:kern w:val="0"/>
                <w:sz w:val="24"/>
                <w:lang w:val="en-US"/>
              </w:rPr>
            </w:pPr>
            <w:r>
              <w:rPr>
                <w:rFonts w:hint="eastAsia"/>
                <w:kern w:val="0"/>
                <w:sz w:val="24"/>
                <w:lang w:val="en-US" w:eastAsia="zh-CN"/>
              </w:rPr>
              <w:t>14.80</w:t>
            </w:r>
          </w:p>
        </w:tc>
        <w:tc>
          <w:tcPr>
            <w:tcW w:w="773" w:type="dxa"/>
            <w:vAlign w:val="center"/>
          </w:tcPr>
          <w:p>
            <w:pPr>
              <w:widowControl/>
              <w:jc w:val="center"/>
              <w:rPr>
                <w:rFonts w:hint="default"/>
                <w:kern w:val="0"/>
                <w:sz w:val="24"/>
                <w:lang w:val="en-US"/>
              </w:rPr>
            </w:pPr>
            <w:r>
              <w:rPr>
                <w:rFonts w:hint="eastAsia"/>
                <w:kern w:val="0"/>
                <w:sz w:val="24"/>
                <w:lang w:val="en-US" w:eastAsia="zh-CN"/>
              </w:rPr>
              <w:t>14.82</w:t>
            </w:r>
          </w:p>
        </w:tc>
        <w:tc>
          <w:tcPr>
            <w:tcW w:w="773" w:type="dxa"/>
            <w:vAlign w:val="center"/>
          </w:tcPr>
          <w:p>
            <w:pPr>
              <w:widowControl/>
              <w:jc w:val="center"/>
              <w:rPr>
                <w:rFonts w:hint="default"/>
                <w:kern w:val="0"/>
                <w:sz w:val="24"/>
                <w:lang w:val="en-US"/>
              </w:rPr>
            </w:pPr>
            <w:r>
              <w:rPr>
                <w:rFonts w:hint="eastAsia"/>
                <w:kern w:val="0"/>
                <w:sz w:val="24"/>
                <w:lang w:val="en-US" w:eastAsia="zh-CN"/>
              </w:rPr>
              <w:t>14.82</w:t>
            </w:r>
          </w:p>
        </w:tc>
        <w:tc>
          <w:tcPr>
            <w:tcW w:w="773" w:type="dxa"/>
            <w:vAlign w:val="center"/>
          </w:tcPr>
          <w:p>
            <w:pPr>
              <w:widowControl/>
              <w:jc w:val="center"/>
              <w:rPr>
                <w:kern w:val="0"/>
                <w:sz w:val="24"/>
              </w:rPr>
            </w:pPr>
            <w:r>
              <w:rPr>
                <w:rFonts w:hint="eastAsia"/>
                <w:kern w:val="0"/>
                <w:sz w:val="24"/>
                <w:lang w:val="en-US" w:eastAsia="zh-CN"/>
              </w:rPr>
              <w:t>14.80</w:t>
            </w:r>
          </w:p>
        </w:tc>
        <w:tc>
          <w:tcPr>
            <w:tcW w:w="773" w:type="dxa"/>
            <w:vAlign w:val="center"/>
          </w:tcPr>
          <w:p>
            <w:pPr>
              <w:widowControl/>
              <w:jc w:val="center"/>
              <w:rPr>
                <w:kern w:val="0"/>
                <w:sz w:val="24"/>
              </w:rPr>
            </w:pPr>
            <w:r>
              <w:rPr>
                <w:rFonts w:hint="eastAsia"/>
                <w:kern w:val="0"/>
                <w:sz w:val="24"/>
                <w:lang w:val="en-US" w:eastAsia="zh-CN"/>
              </w:rPr>
              <w:t>14.80</w:t>
            </w:r>
          </w:p>
        </w:tc>
        <w:tc>
          <w:tcPr>
            <w:tcW w:w="773" w:type="dxa"/>
            <w:vAlign w:val="center"/>
          </w:tcPr>
          <w:p>
            <w:pPr>
              <w:widowControl/>
              <w:jc w:val="center"/>
              <w:rPr>
                <w:rFonts w:hint="default"/>
                <w:kern w:val="0"/>
                <w:sz w:val="24"/>
                <w:lang w:val="en-US"/>
              </w:rPr>
            </w:pPr>
            <w:r>
              <w:rPr>
                <w:rFonts w:hint="eastAsia"/>
                <w:kern w:val="0"/>
                <w:sz w:val="24"/>
                <w:lang w:val="en-US" w:eastAsia="zh-CN"/>
              </w:rPr>
              <w:t>14.82</w:t>
            </w:r>
          </w:p>
        </w:tc>
        <w:tc>
          <w:tcPr>
            <w:tcW w:w="773" w:type="dxa"/>
            <w:vAlign w:val="center"/>
          </w:tcPr>
          <w:p>
            <w:pPr>
              <w:widowControl/>
              <w:jc w:val="center"/>
              <w:rPr>
                <w:rFonts w:hint="default"/>
                <w:kern w:val="0"/>
                <w:sz w:val="24"/>
                <w:lang w:val="en-US"/>
              </w:rPr>
            </w:pPr>
            <w:r>
              <w:rPr>
                <w:rFonts w:hint="eastAsia"/>
                <w:kern w:val="0"/>
                <w:sz w:val="24"/>
                <w:lang w:val="en-US" w:eastAsia="zh-CN"/>
              </w:rPr>
              <w:t>14.82</w:t>
            </w:r>
          </w:p>
        </w:tc>
        <w:tc>
          <w:tcPr>
            <w:tcW w:w="773" w:type="dxa"/>
            <w:vAlign w:val="center"/>
          </w:tcPr>
          <w:p>
            <w:pPr>
              <w:widowControl/>
              <w:jc w:val="center"/>
              <w:rPr>
                <w:kern w:val="0"/>
                <w:sz w:val="24"/>
              </w:rPr>
            </w:pPr>
            <w:r>
              <w:rPr>
                <w:rFonts w:hint="eastAsia"/>
                <w:kern w:val="0"/>
                <w:sz w:val="24"/>
                <w:lang w:val="en-US" w:eastAsia="zh-CN"/>
              </w:rPr>
              <w:t>14.80</w:t>
            </w:r>
          </w:p>
        </w:tc>
        <w:tc>
          <w:tcPr>
            <w:tcW w:w="775" w:type="dxa"/>
            <w:vAlign w:val="center"/>
          </w:tcPr>
          <w:p>
            <w:pPr>
              <w:widowControl/>
              <w:jc w:val="center"/>
              <w:rPr>
                <w:kern w:val="0"/>
                <w:sz w:val="24"/>
              </w:rPr>
            </w:pPr>
            <w:r>
              <w:rPr>
                <w:rFonts w:hint="eastAsia"/>
                <w:kern w:val="0"/>
                <w:sz w:val="24"/>
                <w:lang w:val="en-US" w:eastAsia="zh-CN"/>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sz w:val="24"/>
              </w:rPr>
            </w:pPr>
            <w:r>
              <w:rPr>
                <w:position w:val="-10"/>
                <w:sz w:val="24"/>
              </w:rPr>
              <w:object>
                <v:shape id="_x0000_i1029" o:spt="75" type="#_x0000_t75" style="height:18.8pt;width:38.1pt;" o:ole="t" filled="f" o:preferrelative="t" stroked="f" coordsize="21600,21600">
                  <v:path/>
                  <v:fill on="f" focussize="0,0"/>
                  <v:stroke on="f" joinstyle="miter"/>
                  <v:imagedata r:id="rId14" o:title=""/>
                  <o:lock v:ext="edit" aspectratio="t"/>
                  <w10:wrap type="none"/>
                  <w10:anchorlock/>
                </v:shape>
                <o:OLEObject Type="Embed" ProgID="Equation.KSEE3" ShapeID="_x0000_i1029" DrawAspect="Content" ObjectID="_1468075729" r:id="rId13">
                  <o:LockedField>false</o:LockedField>
                </o:OLEObject>
              </w:object>
            </w:r>
          </w:p>
        </w:tc>
        <w:tc>
          <w:tcPr>
            <w:tcW w:w="7732" w:type="dxa"/>
            <w:gridSpan w:val="10"/>
            <w:vAlign w:val="center"/>
          </w:tcPr>
          <w:p>
            <w:pPr>
              <w:widowControl/>
              <w:jc w:val="center"/>
              <w:rPr>
                <w:rFonts w:hint="default" w:eastAsia="宋体"/>
                <w:color w:val="0D0D0D" w:themeColor="text1" w:themeTint="F2"/>
                <w:kern w:val="0"/>
                <w:sz w:val="24"/>
                <w:lang w:val="en-US" w:eastAsia="zh-CN"/>
                <w14:textFill>
                  <w14:solidFill>
                    <w14:schemeClr w14:val="tx1">
                      <w14:lumMod w14:val="95000"/>
                      <w14:lumOff w14:val="5000"/>
                    </w14:schemeClr>
                  </w14:solidFill>
                </w14:textFill>
              </w:rPr>
            </w:pPr>
            <w:r>
              <w:rPr>
                <w:rFonts w:hint="eastAsia"/>
                <w:color w:val="0D0D0D" w:themeColor="text1" w:themeTint="F2"/>
                <w:kern w:val="0"/>
                <w:sz w:val="24"/>
                <w:lang w:val="en-US" w:eastAsia="zh-CN"/>
                <w14:textFill>
                  <w14:solidFill>
                    <w14:schemeClr w14:val="tx1">
                      <w14:lumMod w14:val="95000"/>
                      <w14:lumOff w14:val="5000"/>
                    </w14:schemeClr>
                  </w14:solidFill>
                </w14:textFill>
              </w:rPr>
              <w:t>18.81</w:t>
            </w:r>
          </w:p>
        </w:tc>
      </w:tr>
    </w:tbl>
    <w:p>
      <w:pPr>
        <w:spacing w:line="360" w:lineRule="auto"/>
        <w:ind w:firstLine="720" w:firstLineChars="300"/>
        <w:rPr>
          <w:sz w:val="24"/>
        </w:rPr>
      </w:pPr>
      <w:r>
        <w:rPr>
          <w:sz w:val="24"/>
        </w:rPr>
        <w:t>被测试件测量值的平均值：</w:t>
      </w:r>
      <w:r>
        <w:rPr>
          <w:position w:val="-28"/>
          <w:sz w:val="24"/>
        </w:rPr>
        <w:object>
          <v:shape id="_x0000_i1030" o:spt="75" type="#_x0000_t75" style="height:39.45pt;width:140.0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tabs>
          <w:tab w:val="left" w:pos="2489"/>
        </w:tabs>
        <w:spacing w:line="360" w:lineRule="auto"/>
        <w:ind w:left="780" w:firstLine="1920" w:firstLineChars="800"/>
        <w:rPr>
          <w:color w:val="0D0D0D" w:themeColor="text1" w:themeTint="F2"/>
          <w:sz w:val="24"/>
          <w14:textFill>
            <w14:solidFill>
              <w14:schemeClr w14:val="tx1">
                <w14:lumMod w14:val="95000"/>
                <w14:lumOff w14:val="5000"/>
              </w14:schemeClr>
            </w14:solidFill>
          </w14:textFill>
        </w:rPr>
      </w:pPr>
      <w:r>
        <w:rPr>
          <w:sz w:val="24"/>
        </w:rPr>
        <w:tab/>
      </w:r>
    </w:p>
    <w:p>
      <w:pPr>
        <w:widowControl/>
        <w:tabs>
          <w:tab w:val="center" w:pos="4360"/>
          <w:tab w:val="right" w:pos="8300"/>
        </w:tabs>
        <w:spacing w:line="360" w:lineRule="auto"/>
        <w:ind w:firstLine="720" w:firstLineChars="300"/>
        <w:rPr>
          <w:kern w:val="0"/>
          <w:sz w:val="24"/>
        </w:rPr>
      </w:pPr>
      <w:r>
        <w:rPr>
          <w:color w:val="000000" w:themeColor="text1"/>
          <w:kern w:val="0"/>
          <w:sz w:val="24"/>
          <w14:textFill>
            <w14:solidFill>
              <w14:schemeClr w14:val="tx1"/>
            </w14:solidFill>
          </w14:textFill>
        </w:rPr>
        <w:t>单个测量值的实验标准差</w:t>
      </w:r>
      <w:r>
        <w:rPr>
          <w:kern w:val="0"/>
          <w:sz w:val="24"/>
        </w:rPr>
        <w:t>：</w:t>
      </w:r>
      <w:r>
        <w:rPr>
          <w:kern w:val="0"/>
          <w:position w:val="-30"/>
          <w:sz w:val="24"/>
        </w:rPr>
        <w:object>
          <v:shape id="_x0000_i1031" o:spt="75" alt="" type="#_x0000_t75" style="height:46.15pt;width:191.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m:oMath>
        <m:acc>
          <m:accPr>
            <m:chr m:val="̅"/>
            <m:ctrlPr>
              <w:rPr>
                <w:rFonts w:ascii="Cambria Math" w:hAnsi="Cambria Math"/>
                <w:color w:val="000000" w:themeColor="text1"/>
                <w:kern w:val="0"/>
                <w:sz w:val="24"/>
                <w14:textFill>
                  <w14:solidFill>
                    <w14:schemeClr w14:val="tx1"/>
                  </w14:solidFill>
                </w14:textFill>
              </w:rPr>
            </m:ctrlPr>
          </m:accPr>
          <m:e>
            <m:r>
              <w:rPr>
                <w:rFonts w:ascii="Cambria Math" w:hAnsi="Cambria Math"/>
                <w:color w:val="000000" w:themeColor="text1"/>
                <w:kern w:val="0"/>
                <w:sz w:val="24"/>
                <w14:textFill>
                  <w14:solidFill>
                    <w14:schemeClr w14:val="tx1"/>
                  </w14:solidFill>
                </w14:textFill>
              </w:rPr>
              <m:t>x</m:t>
            </m:r>
            <m:ctrlPr>
              <w:rPr>
                <w:rFonts w:ascii="Cambria Math" w:hAnsi="Cambria Math"/>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p>
    <w:p>
      <w:pPr>
        <w:widowControl/>
        <w:tabs>
          <w:tab w:val="center" w:pos="4360"/>
          <w:tab w:val="right" w:pos="8300"/>
        </w:tabs>
        <w:spacing w:line="360" w:lineRule="auto"/>
        <w:ind w:left="420" w:firstLine="1920" w:firstLineChars="800"/>
        <w:rPr>
          <w:color w:val="000000" w:themeColor="text1"/>
          <w:kern w:val="0"/>
          <w:sz w:val="24"/>
          <w14:textFill>
            <w14:solidFill>
              <w14:schemeClr w14:val="tx1"/>
            </w14:solidFill>
          </w14:textFill>
        </w:rPr>
      </w:pPr>
      <w:bookmarkStart w:id="0" w:name="_Hlk36298355"/>
      <w:r>
        <w:rPr>
          <w:color w:val="000000" w:themeColor="text1"/>
          <w:kern w:val="0"/>
          <w:sz w:val="24"/>
          <w14:textFill>
            <w14:solidFill>
              <w14:schemeClr w14:val="tx1"/>
            </w14:solidFill>
          </w14:textFill>
        </w:rPr>
        <w:t>（</w:t>
      </w:r>
      <m:oMath>
        <m:acc>
          <m:accPr>
            <m:chr m:val="̅"/>
            <m:ctrlPr>
              <w:rPr>
                <w:rFonts w:ascii="Cambria Math" w:hAnsi="Cambria Math"/>
                <w:color w:val="000000" w:themeColor="text1"/>
                <w:kern w:val="0"/>
                <w:sz w:val="24"/>
                <w14:textFill>
                  <w14:solidFill>
                    <w14:schemeClr w14:val="tx1"/>
                  </w14:solidFill>
                </w14:textFill>
              </w:rPr>
            </m:ctrlPr>
          </m:accPr>
          <m:e>
            <m:r>
              <w:rPr>
                <w:rFonts w:ascii="Cambria Math" w:hAnsi="Cambria Math"/>
                <w:color w:val="000000" w:themeColor="text1"/>
                <w:kern w:val="0"/>
                <w:sz w:val="24"/>
                <w14:textFill>
                  <w14:solidFill>
                    <w14:schemeClr w14:val="tx1"/>
                  </w14:solidFill>
                </w14:textFill>
              </w:rPr>
              <m:t>x</m:t>
            </m:r>
            <m:ctrlPr>
              <w:rPr>
                <w:rFonts w:ascii="Cambria Math" w:hAnsi="Cambria Math"/>
                <w:color w:val="000000" w:themeColor="text1"/>
                <w:kern w:val="0"/>
                <w:sz w:val="24"/>
                <w14:textFill>
                  <w14:solidFill>
                    <w14:schemeClr w14:val="tx1"/>
                  </w14:solidFill>
                </w14:textFill>
              </w:rPr>
            </m:ctrlPr>
          </m:e>
        </m:acc>
      </m:oMath>
      <w:r>
        <w:rPr>
          <w:color w:val="000000" w:themeColor="text1"/>
          <w:kern w:val="0"/>
          <w:sz w:val="24"/>
          <w14:textFill>
            <w14:solidFill>
              <w14:schemeClr w14:val="tx1"/>
            </w14:solidFill>
          </w14:textFill>
        </w:rPr>
        <w:t>为1组数据的平均值，取n=1）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2" o:spt="75" type="#_x0000_t75" style="height:16.45pt;width:12.25pt;" o:ole="t" filled="f" o:preferrelative="t" stroked="f" coordsize="21600,21600">
            <v:path/>
            <v:fill on="f" focussize="0,0"/>
            <v:stroke on="f" joinstyle="miter"/>
            <v:imagedata r:id="rId20" o:title=""/>
            <o:lock v:ext="edit" aspectratio="t"/>
            <w10:wrap type="none"/>
            <w10:anchorlock/>
          </v:shape>
          <o:OLEObject Type="Embed" ProgID="Equation.KSEE3" ShapeID="_x0000_i1032" DrawAspect="Content" ObjectID="_1468075732" r:id="rId19">
            <o:LockedField>false</o:LockedField>
          </o:OLEObject>
        </w:object>
      </w:r>
      <w:r>
        <w:rPr>
          <w:color w:val="0D0D0D" w:themeColor="text1" w:themeTint="F2"/>
          <w:kern w:val="0"/>
          <w:sz w:val="24"/>
          <w14:textFill>
            <w14:solidFill>
              <w14:schemeClr w14:val="tx1">
                <w14:lumMod w14:val="95000"/>
                <w14:lumOff w14:val="5000"/>
              </w14:schemeClr>
            </w14:solidFill>
          </w14:textFill>
        </w:rPr>
        <w:t>=S=0.01mm</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3" o:spt="75" type="#_x0000_t75" style="height:16.95pt;width:12.7pt;" o:ole="t" filled="f" o:preferrelative="t" stroked="f" coordsize="21600,21600">
            <v:path/>
            <v:fill on="f" focussize="0,0"/>
            <v:stroke on="f" joinstyle="miter"/>
            <v:imagedata r:id="rId22" o:title=""/>
            <o:lock v:ext="edit" aspectratio="t"/>
            <w10:wrap type="none"/>
            <w10:anchorlock/>
          </v:shape>
          <o:OLEObject Type="Embed" ProgID="Equation.KSEE3" ShapeID="_x0000_i1033" DrawAspect="Content" ObjectID="_1468075733" r:id="rId21">
            <o:LockedField>false</o:LockedField>
          </o:OLEObject>
        </w:object>
      </w:r>
    </w:p>
    <w:p>
      <w:pPr>
        <w:spacing w:line="360" w:lineRule="auto"/>
        <w:ind w:firstLine="480" w:firstLineChars="200"/>
        <w:rPr>
          <w:sz w:val="24"/>
        </w:rPr>
      </w:pPr>
      <w:r>
        <w:rPr>
          <w:rFonts w:hint="eastAsia"/>
          <w:sz w:val="24"/>
        </w:rPr>
        <w:t>游标</w:t>
      </w:r>
      <w:r>
        <w:rPr>
          <w:sz w:val="24"/>
        </w:rPr>
        <w:t>卡尺的示值误差为±0.02mm，服从均匀分布，取α=</w:t>
      </w:r>
      <m:oMath>
        <m:rad>
          <m:radPr>
            <m:degHide m:val="1"/>
            <m:ctrlPr>
              <w:rPr>
                <w:rFonts w:ascii="Cambria Math" w:hAnsi="Cambria Math"/>
                <w:sz w:val="24"/>
              </w:rPr>
            </m:ctrlPr>
          </m:radPr>
          <m:deg>
            <m:ctrlPr>
              <w:rPr>
                <w:rFonts w:ascii="Cambria Math" w:hAnsi="Cambria Math"/>
                <w:sz w:val="24"/>
              </w:rPr>
            </m:ctrlPr>
          </m:deg>
          <m:e>
            <m:r>
              <w:rPr>
                <w:rFonts w:ascii="Cambria Math" w:hAnsi="Cambria Math"/>
                <w:sz w:val="24"/>
              </w:rPr>
              <m:t>3</m:t>
            </m:r>
            <m:ctrlPr>
              <w:rPr>
                <w:rFonts w:ascii="Cambria Math" w:hAnsi="Cambria Math"/>
                <w:sz w:val="24"/>
              </w:rPr>
            </m:ctrlPr>
          </m:e>
        </m:rad>
      </m:oMath>
      <w:r>
        <w:rPr>
          <w:sz w:val="24"/>
        </w:rPr>
        <w:t>，则由设备示值</w:t>
      </w:r>
      <w:bookmarkStart w:id="1" w:name="_GoBack"/>
      <w:bookmarkEnd w:id="1"/>
      <w:r>
        <w:rPr>
          <w:sz w:val="24"/>
        </w:rPr>
        <w:t>误差引入的不确定分量为：</w:t>
      </w:r>
    </w:p>
    <w:p>
      <w:pPr>
        <w:spacing w:line="360" w:lineRule="auto"/>
        <w:ind w:left="-142" w:firstLine="2980" w:firstLineChars="1242"/>
        <w:rPr>
          <w:i/>
          <w:position w:val="-24"/>
          <w:sz w:val="24"/>
        </w:rPr>
      </w:pPr>
      <w:r>
        <w:rPr>
          <w:i/>
          <w:position w:val="-28"/>
          <w:sz w:val="24"/>
        </w:rPr>
        <w:object>
          <v:shape id="_x0000_i1034" o:spt="75" type="#_x0000_t75" style="height:32.95pt;width:127.05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0.012mm</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2"/>
          <w:sz w:val="24"/>
          <w:vertAlign w:val="subscript"/>
        </w:rPr>
        <w:object>
          <v:shape id="_x0000_i1035" o:spt="75" type="#_x0000_t75" style="height:21.65pt;width:213.2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25">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sz w:val="24"/>
        </w:rPr>
        <w:t>u</w:t>
      </w:r>
      <w:r>
        <w:rPr>
          <w:sz w:val="24"/>
          <w:vertAlign w:val="subscript"/>
        </w:rPr>
        <w:t>c</w:t>
      </w:r>
      <w:r>
        <w:rPr>
          <w:sz w:val="24"/>
        </w:rPr>
        <w:t>＝2×0.02mm＝0.04mm</w:t>
      </w:r>
    </w:p>
    <w:p>
      <w:pPr>
        <w:spacing w:line="360" w:lineRule="auto"/>
        <w:rPr>
          <w:sz w:val="24"/>
        </w:rPr>
      </w:pPr>
      <w:r>
        <w:rPr>
          <w:b/>
          <w:bCs/>
          <w:sz w:val="24"/>
        </w:rPr>
        <w:t xml:space="preserve">6、测量不确定度的报告与表示   </w:t>
      </w:r>
      <w:r>
        <w:rPr>
          <w:sz w:val="24"/>
        </w:rPr>
        <w:t xml:space="preserve">  </w:t>
      </w:r>
    </w:p>
    <w:p>
      <w:pPr>
        <w:spacing w:line="360" w:lineRule="auto"/>
        <w:ind w:firstLine="480" w:firstLineChars="200"/>
      </w:pPr>
      <w:r>
        <w:rPr>
          <w:color w:val="0D0D0D" w:themeColor="text1" w:themeTint="F2"/>
          <w:kern w:val="0"/>
          <w:sz w:val="24"/>
          <w14:textFill>
            <w14:solidFill>
              <w14:schemeClr w14:val="tx1">
                <w14:lumMod w14:val="95000"/>
                <w14:lumOff w14:val="5000"/>
              </w14:schemeClr>
            </w14:solidFill>
          </w14:textFill>
        </w:rPr>
        <w:t>L=</w:t>
      </w:r>
      <w:r>
        <w:rPr>
          <w:rFonts w:hint="eastAsia"/>
          <w:color w:val="0D0D0D" w:themeColor="text1" w:themeTint="F2"/>
          <w:kern w:val="0"/>
          <w:sz w:val="24"/>
          <w:lang w:val="en-US" w:eastAsia="zh-CN"/>
          <w14:textFill>
            <w14:solidFill>
              <w14:schemeClr w14:val="tx1">
                <w14:lumMod w14:val="95000"/>
                <w14:lumOff w14:val="5000"/>
              </w14:schemeClr>
            </w14:solidFill>
          </w14:textFill>
        </w:rPr>
        <w:t>14.81</w:t>
      </w:r>
      <w:r>
        <w:rPr>
          <w:color w:val="0D0D0D" w:themeColor="text1" w:themeTint="F2"/>
          <w:kern w:val="0"/>
          <w:sz w:val="24"/>
          <w14:textFill>
            <w14:solidFill>
              <w14:schemeClr w14:val="tx1">
                <w14:lumMod w14:val="95000"/>
                <w14:lumOff w14:val="5000"/>
              </w14:schemeClr>
            </w14:solidFill>
          </w14:textFill>
        </w:rPr>
        <w:t>mm;</w:t>
      </w:r>
      <w:r>
        <w:rPr>
          <w:i/>
          <w:sz w:val="24"/>
        </w:rPr>
        <w:t>U＝</w:t>
      </w:r>
      <w:r>
        <w:rPr>
          <w:sz w:val="24"/>
        </w:rPr>
        <w:t xml:space="preserve">0.04mm  </w:t>
      </w:r>
      <w:r>
        <w:rPr>
          <w:i/>
          <w:kern w:val="0"/>
          <w:sz w:val="24"/>
        </w:rPr>
        <w:t>k</w:t>
      </w:r>
      <w:r>
        <w:rPr>
          <w:i/>
          <w:iCs/>
          <w:kern w:val="0"/>
          <w:sz w:val="24"/>
        </w:rPr>
        <w:t xml:space="preserve"> </w:t>
      </w:r>
      <w:r>
        <w:rPr>
          <w:kern w:val="0"/>
          <w:sz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D5B0F"/>
    <w:rsid w:val="00194D5A"/>
    <w:rsid w:val="00227CDF"/>
    <w:rsid w:val="003869A8"/>
    <w:rsid w:val="0047357A"/>
    <w:rsid w:val="00477F42"/>
    <w:rsid w:val="00486E22"/>
    <w:rsid w:val="0055550A"/>
    <w:rsid w:val="005A154F"/>
    <w:rsid w:val="006E25D7"/>
    <w:rsid w:val="007A54BF"/>
    <w:rsid w:val="00A27A88"/>
    <w:rsid w:val="00B72BDD"/>
    <w:rsid w:val="00D24F36"/>
    <w:rsid w:val="00D60E80"/>
    <w:rsid w:val="00E264E2"/>
    <w:rsid w:val="00F55B64"/>
    <w:rsid w:val="00F71631"/>
    <w:rsid w:val="029D4DA9"/>
    <w:rsid w:val="04444815"/>
    <w:rsid w:val="062619D7"/>
    <w:rsid w:val="06C201D1"/>
    <w:rsid w:val="0A9A5E74"/>
    <w:rsid w:val="0E2137A4"/>
    <w:rsid w:val="0EBC1312"/>
    <w:rsid w:val="10C76CC6"/>
    <w:rsid w:val="11DD0A90"/>
    <w:rsid w:val="150669D4"/>
    <w:rsid w:val="1581369B"/>
    <w:rsid w:val="18175742"/>
    <w:rsid w:val="183E7280"/>
    <w:rsid w:val="1B8F690F"/>
    <w:rsid w:val="27725E1D"/>
    <w:rsid w:val="295E52F6"/>
    <w:rsid w:val="32FD5AF2"/>
    <w:rsid w:val="35D21864"/>
    <w:rsid w:val="36184782"/>
    <w:rsid w:val="37A94C31"/>
    <w:rsid w:val="39983970"/>
    <w:rsid w:val="3E782D86"/>
    <w:rsid w:val="3F6A1D37"/>
    <w:rsid w:val="3FA173DB"/>
    <w:rsid w:val="409F2474"/>
    <w:rsid w:val="45FE3658"/>
    <w:rsid w:val="462C7D91"/>
    <w:rsid w:val="47674205"/>
    <w:rsid w:val="481174DD"/>
    <w:rsid w:val="49680B69"/>
    <w:rsid w:val="499A7F67"/>
    <w:rsid w:val="4E9273F7"/>
    <w:rsid w:val="4F3508CD"/>
    <w:rsid w:val="51D71733"/>
    <w:rsid w:val="52163E48"/>
    <w:rsid w:val="526747A8"/>
    <w:rsid w:val="546F1767"/>
    <w:rsid w:val="550D2A39"/>
    <w:rsid w:val="57CC2099"/>
    <w:rsid w:val="5944689B"/>
    <w:rsid w:val="5D7B6436"/>
    <w:rsid w:val="5E6C67F7"/>
    <w:rsid w:val="5EFD54A6"/>
    <w:rsid w:val="5FBA6C7D"/>
    <w:rsid w:val="6001421E"/>
    <w:rsid w:val="6A764632"/>
    <w:rsid w:val="6C5A5A6D"/>
    <w:rsid w:val="6D1A7968"/>
    <w:rsid w:val="6E9F7006"/>
    <w:rsid w:val="789B1DCD"/>
    <w:rsid w:val="78EB596B"/>
    <w:rsid w:val="7A7B1BB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1168</Characters>
  <Lines>9</Lines>
  <Paragraphs>2</Paragraphs>
  <TotalTime>3</TotalTime>
  <ScaleCrop>false</ScaleCrop>
  <LinksUpToDate>false</LinksUpToDate>
  <CharactersWithSpaces>1370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2020-09-23T09:21:21Z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