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受审核方：宝鸡天王机械有限责任公司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17.05.01,17.10.02,22.03.02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center"/>
              <w:rPr>
                <w:rFonts w:ascii="宋体"/>
                <w:b/>
                <w:color w:val="FF0000"/>
                <w:sz w:val="21"/>
              </w:rPr>
            </w:pPr>
            <w:bookmarkStart w:id="10" w:name="组织名称Add"/>
            <w:r>
              <w:rPr>
                <w:rFonts w:ascii="宋体"/>
                <w:b/>
                <w:color w:val="000000" w:themeColor="text1"/>
                <w:sz w:val="21"/>
              </w:rPr>
              <w:t>宝鸡天王机械有限责任公司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1" w:name="注册地址"/>
            <w:r>
              <w:rPr>
                <w:rFonts w:ascii="宋体"/>
                <w:b/>
                <w:sz w:val="21"/>
              </w:rPr>
              <w:t>陕西省宝鸡市高新开发区天王镇</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2" w:name="注册邮编"/>
            <w:r>
              <w:rPr>
                <w:rFonts w:ascii="宋体"/>
                <w:b/>
                <w:sz w:val="21"/>
              </w:rPr>
              <w:t>610304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center"/>
              <w:rPr>
                <w:rFonts w:ascii="宋体"/>
                <w:b/>
                <w:sz w:val="21"/>
              </w:rPr>
            </w:pPr>
            <w:bookmarkStart w:id="13" w:name="办公地址"/>
            <w:r>
              <w:rPr>
                <w:rFonts w:ascii="宋体"/>
                <w:b/>
                <w:sz w:val="21"/>
              </w:rPr>
              <w:t>陕西省宝鸡市高新开发区天王镇</w:t>
            </w:r>
            <w:bookmarkEnd w:id="13"/>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4" w:name="办公邮编"/>
            <w:r>
              <w:rPr>
                <w:rFonts w:ascii="宋体"/>
                <w:b/>
                <w:sz w:val="21"/>
              </w:rPr>
              <w:t>610304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center"/>
              <w:rPr>
                <w:rFonts w:ascii="宋体"/>
                <w:b/>
                <w:sz w:val="21"/>
              </w:rPr>
            </w:pPr>
            <w:bookmarkStart w:id="15" w:name="生产地址Add"/>
            <w:r>
              <w:rPr>
                <w:rFonts w:ascii="宋体"/>
                <w:b/>
                <w:sz w:val="21"/>
              </w:rPr>
              <w:t>陕西省宝鸡市高新开发区天王镇</w:t>
            </w:r>
            <w:bookmarkEnd w:id="15"/>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6" w:name="生产邮编"/>
            <w:r>
              <w:rPr>
                <w:rFonts w:ascii="宋体"/>
                <w:b/>
                <w:sz w:val="21"/>
              </w:rPr>
              <w:t>610304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b/>
                <w:sz w:val="21"/>
              </w:rPr>
            </w:pPr>
            <w:bookmarkStart w:id="17" w:name="联系人"/>
            <w:r>
              <w:rPr>
                <w:rFonts w:ascii="宋体"/>
                <w:b/>
                <w:sz w:val="21"/>
              </w:rPr>
              <w:t>鲁刚</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13571777001</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0" w:name="法人"/>
            <w:r>
              <w:rPr>
                <w:rFonts w:ascii="宋体" w:hAnsi="宋体"/>
                <w:b/>
                <w:sz w:val="21"/>
                <w:szCs w:val="21"/>
              </w:rPr>
              <w:t>鲁鹏</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1" w:name="管理者代表"/>
            <w:r>
              <w:rPr>
                <w:rFonts w:ascii="宋体"/>
                <w:b/>
                <w:sz w:val="21"/>
              </w:rPr>
              <w:t>梁张礼</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2020年09月22日 下午至2020年09月24日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sz w:val="20"/>
              </w:rPr>
              <w:t>汽车变速箱零部件(铸造件、机加工件)的生产及其场所所涉及的环境管理活动。</w:t>
            </w:r>
            <w:bookmarkEnd w:id="26"/>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bCs w:val="0"/>
                <w:color w:val="000000" w:themeColor="text1"/>
                <w:sz w:val="21"/>
                <w:szCs w:val="21"/>
              </w:rPr>
            </w:pPr>
            <w:bookmarkStart w:id="28" w:name="专业代码"/>
            <w:r>
              <w:rPr>
                <w:rFonts w:ascii="宋体" w:hAnsi="宋体"/>
                <w:b/>
                <w:bCs w:val="0"/>
                <w:color w:val="000000" w:themeColor="text1"/>
                <w:sz w:val="21"/>
                <w:szCs w:val="21"/>
              </w:rPr>
              <w:t>17.05.01;17.10.02;22.03.02</w:t>
            </w:r>
            <w:bookmarkEnd w:id="28"/>
          </w:p>
        </w:tc>
        <w:tc>
          <w:tcPr>
            <w:tcW w:w="1109" w:type="dxa"/>
            <w:vAlign w:val="center"/>
          </w:tcPr>
          <w:p>
            <w:pPr>
              <w:spacing w:line="260" w:lineRule="exact"/>
              <w:jc w:val="center"/>
              <w:rPr>
                <w:rFonts w:ascii="宋体" w:hAnsi="宋体"/>
                <w:b/>
                <w:bCs w:val="0"/>
                <w:color w:val="000000" w:themeColor="text1"/>
                <w:sz w:val="21"/>
                <w:szCs w:val="21"/>
              </w:rPr>
            </w:pPr>
            <w:r>
              <w:rPr>
                <w:rFonts w:hint="eastAsia" w:ascii="宋体" w:hAnsi="宋体"/>
                <w:b/>
                <w:bCs w:val="0"/>
                <w:color w:val="000000" w:themeColor="text1"/>
                <w:sz w:val="21"/>
                <w:szCs w:val="21"/>
              </w:rPr>
              <w:t>证书有</w:t>
            </w:r>
          </w:p>
          <w:p>
            <w:pPr>
              <w:spacing w:line="260" w:lineRule="exact"/>
              <w:jc w:val="center"/>
              <w:rPr>
                <w:rFonts w:ascii="宋体" w:hAnsi="宋体"/>
                <w:b/>
                <w:bCs w:val="0"/>
                <w:color w:val="000000" w:themeColor="text1"/>
                <w:sz w:val="21"/>
                <w:szCs w:val="21"/>
              </w:rPr>
            </w:pPr>
            <w:r>
              <w:rPr>
                <w:rFonts w:hint="eastAsia" w:ascii="宋体" w:hAnsi="宋体"/>
                <w:b/>
                <w:bCs w:val="0"/>
                <w:color w:val="000000" w:themeColor="text1"/>
                <w:sz w:val="21"/>
                <w:szCs w:val="21"/>
              </w:rPr>
              <w:t>效期</w:t>
            </w:r>
          </w:p>
        </w:tc>
        <w:tc>
          <w:tcPr>
            <w:tcW w:w="1618" w:type="dxa"/>
            <w:gridSpan w:val="2"/>
            <w:vAlign w:val="center"/>
          </w:tcPr>
          <w:p>
            <w:pPr>
              <w:spacing w:line="260" w:lineRule="exact"/>
              <w:jc w:val="center"/>
              <w:rPr>
                <w:rFonts w:hint="default" w:ascii="宋体" w:hAnsi="宋体" w:eastAsia="宋体"/>
                <w:b/>
                <w:bCs w:val="0"/>
                <w:color w:val="000000" w:themeColor="text1"/>
                <w:sz w:val="21"/>
                <w:szCs w:val="21"/>
                <w:lang w:val="en-US" w:eastAsia="zh-CN"/>
              </w:rPr>
            </w:pPr>
            <w:r>
              <w:rPr>
                <w:rFonts w:hint="eastAsia" w:ascii="宋体" w:hAnsi="宋体"/>
                <w:b/>
                <w:bCs w:val="0"/>
                <w:color w:val="000000" w:themeColor="text1"/>
                <w:sz w:val="21"/>
                <w:szCs w:val="21"/>
                <w:lang w:val="en-US" w:eastAsia="zh-CN"/>
              </w:rPr>
              <w:t>2022.10.10</w:t>
            </w:r>
          </w:p>
        </w:tc>
        <w:tc>
          <w:tcPr>
            <w:tcW w:w="1672" w:type="dxa"/>
            <w:vAlign w:val="center"/>
          </w:tcPr>
          <w:p>
            <w:pPr>
              <w:spacing w:line="260" w:lineRule="exact"/>
              <w:jc w:val="center"/>
              <w:rPr>
                <w:rFonts w:ascii="宋体" w:hAnsi="宋体"/>
                <w:b/>
                <w:bCs w:val="0"/>
                <w:color w:val="000000" w:themeColor="text1"/>
                <w:sz w:val="21"/>
                <w:szCs w:val="21"/>
              </w:rPr>
            </w:pPr>
            <w:r>
              <w:rPr>
                <w:rFonts w:hint="eastAsia" w:ascii="宋体" w:hAnsi="宋体"/>
                <w:b/>
                <w:bCs w:val="0"/>
                <w:color w:val="000000" w:themeColor="text1"/>
                <w:sz w:val="21"/>
                <w:szCs w:val="21"/>
              </w:rPr>
              <w:t>上年度</w:t>
            </w:r>
          </w:p>
          <w:p>
            <w:pPr>
              <w:spacing w:line="260" w:lineRule="exact"/>
              <w:jc w:val="center"/>
              <w:rPr>
                <w:rFonts w:ascii="宋体" w:hAnsi="宋体"/>
                <w:b/>
                <w:bCs w:val="0"/>
                <w:color w:val="000000" w:themeColor="text1"/>
                <w:sz w:val="21"/>
                <w:szCs w:val="21"/>
              </w:rPr>
            </w:pPr>
            <w:r>
              <w:rPr>
                <w:rFonts w:hint="eastAsia" w:ascii="宋体" w:hAnsi="宋体"/>
                <w:b/>
                <w:bCs w:val="0"/>
                <w:color w:val="000000" w:themeColor="text1"/>
                <w:sz w:val="21"/>
                <w:szCs w:val="21"/>
              </w:rPr>
              <w:t>审核日期</w:t>
            </w:r>
          </w:p>
        </w:tc>
        <w:tc>
          <w:tcPr>
            <w:tcW w:w="1500" w:type="dxa"/>
            <w:vAlign w:val="center"/>
          </w:tcPr>
          <w:p>
            <w:pPr>
              <w:spacing w:line="260" w:lineRule="exact"/>
              <w:jc w:val="center"/>
              <w:rPr>
                <w:rFonts w:ascii="宋体"/>
                <w:b/>
                <w:bCs w:val="0"/>
                <w:color w:val="000000" w:themeColor="text1"/>
                <w:sz w:val="21"/>
              </w:rPr>
            </w:pPr>
            <w:r>
              <w:rPr>
                <w:rFonts w:hint="eastAsia" w:ascii="宋体" w:hAnsi="宋体"/>
                <w:b/>
                <w:bCs w:val="0"/>
                <w:color w:val="000000" w:themeColor="text1"/>
                <w:sz w:val="20"/>
                <w:szCs w:val="20"/>
                <w:lang w:val="en-US" w:eastAsia="zh-CN"/>
              </w:rPr>
              <w:t>2019.9.25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360" w:lineRule="auto"/>
              <w:rPr>
                <w:rFonts w:hint="eastAsia" w:ascii="宋体" w:hAnsi="宋体" w:eastAsia="宋体" w:cs="宋体"/>
                <w:b/>
                <w:bCs w:val="0"/>
                <w:color w:val="000000" w:themeColor="text1"/>
                <w:sz w:val="20"/>
                <w:szCs w:val="20"/>
                <w:u w:val="none"/>
              </w:rPr>
            </w:pPr>
            <w:r>
              <w:rPr>
                <w:rFonts w:hint="eastAsia" w:ascii="宋体" w:hAnsi="宋体" w:eastAsia="宋体" w:cs="宋体"/>
                <w:b/>
                <w:bCs w:val="0"/>
                <w:color w:val="000000" w:themeColor="text1"/>
                <w:sz w:val="20"/>
                <w:szCs w:val="20"/>
                <w:u w:val="none"/>
              </w:rPr>
              <w:t>1、组织及其环境的识别情况</w:t>
            </w:r>
          </w:p>
          <w:p>
            <w:pPr>
              <w:spacing w:line="360" w:lineRule="auto"/>
              <w:rPr>
                <w:rFonts w:hint="eastAsia" w:ascii="宋体" w:hAnsi="宋体" w:eastAsia="宋体" w:cs="宋体"/>
                <w:b w:val="0"/>
                <w:bCs/>
                <w:sz w:val="21"/>
                <w:szCs w:val="21"/>
                <w:u w:val="none"/>
              </w:rPr>
            </w:pPr>
            <w:r>
              <w:rPr>
                <w:rFonts w:hint="eastAsia" w:ascii="宋体" w:hAnsi="宋体" w:eastAsia="宋体" w:cs="宋体"/>
                <w:b w:val="0"/>
                <w:bCs/>
                <w:u w:val="none"/>
              </w:rPr>
              <w:t>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r>
              <w:rPr>
                <w:rFonts w:hint="eastAsia" w:ascii="宋体" w:hAnsi="宋体" w:eastAsia="宋体" w:cs="宋体"/>
                <w:b w:val="0"/>
                <w:bCs/>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360" w:lineRule="auto"/>
              <w:rPr>
                <w:rFonts w:hint="eastAsia" w:ascii="宋体" w:hAnsi="宋体" w:eastAsia="宋体" w:cs="宋体"/>
                <w:b/>
                <w:bCs w:val="0"/>
                <w:color w:val="000000" w:themeColor="text1"/>
                <w:sz w:val="20"/>
                <w:szCs w:val="20"/>
                <w:u w:val="none"/>
              </w:rPr>
            </w:pPr>
            <w:r>
              <w:rPr>
                <w:rFonts w:hint="eastAsia" w:ascii="宋体" w:hAnsi="宋体" w:eastAsia="宋体" w:cs="宋体"/>
                <w:b/>
                <w:bCs w:val="0"/>
                <w:color w:val="000000" w:themeColor="text1"/>
                <w:sz w:val="20"/>
                <w:szCs w:val="20"/>
                <w:u w:val="none"/>
              </w:rPr>
              <w:t>相关方需求和期望识别情况</w:t>
            </w:r>
          </w:p>
          <w:p>
            <w:pPr>
              <w:spacing w:line="360" w:lineRule="auto"/>
              <w:rPr>
                <w:rFonts w:hint="eastAsia" w:ascii="宋体" w:hAnsi="宋体" w:eastAsia="宋体" w:cs="宋体"/>
                <w:b w:val="0"/>
                <w:bCs/>
                <w:u w:val="none"/>
              </w:rPr>
            </w:pPr>
            <w:r>
              <w:rPr>
                <w:rFonts w:hint="eastAsia" w:ascii="宋体" w:hAnsi="宋体" w:eastAsia="宋体" w:cs="宋体"/>
                <w:b w:val="0"/>
                <w:bCs/>
                <w:u w:val="none"/>
              </w:rPr>
              <w:t>从相关方类型、需求和期望、监测和评审方式、监测的频次、监测部门、需求和期望的符合性等方面进行了解相关方的需求，相关方有客户、员工、外部供方、政府部门、政府部门等。</w:t>
            </w:r>
          </w:p>
          <w:p>
            <w:pPr>
              <w:spacing w:line="360" w:lineRule="auto"/>
              <w:rPr>
                <w:rFonts w:hint="eastAsia" w:ascii="宋体" w:hAnsi="宋体" w:eastAsia="宋体" w:cs="宋体"/>
                <w:b w:val="0"/>
                <w:bCs/>
                <w:sz w:val="21"/>
                <w:szCs w:val="21"/>
                <w:u w:val="none"/>
              </w:rPr>
            </w:pPr>
            <w:r>
              <w:rPr>
                <w:rFonts w:hint="eastAsia" w:ascii="宋体" w:hAnsi="宋体" w:eastAsia="宋体" w:cs="宋体"/>
                <w:b w:val="0"/>
                <w:bCs/>
                <w:u w:val="none"/>
              </w:rPr>
              <w:t>了解相关方的需求形式走访、调查、电话沟通等方式；顾客的主要需求期望是：产品质量好符合相关标准及法规要求，供货及时周期短。符合环保法律法规要求。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rPr>
                <w:rFonts w:hint="eastAsia"/>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w:t>
            </w:r>
            <w:r>
              <w:rPr>
                <w:rFonts w:hint="eastAsia" w:ascii="宋体" w:hAnsi="宋体"/>
                <w:b w:val="0"/>
                <w:bCs/>
                <w:sz w:val="21"/>
                <w:szCs w:val="21"/>
                <w:lang w:val="en-US" w:eastAsia="zh-CN"/>
              </w:rPr>
              <w:t>环境</w:t>
            </w:r>
            <w:r>
              <w:rPr>
                <w:rFonts w:hint="eastAsia" w:ascii="宋体" w:hAnsi="宋体"/>
                <w:b w:val="0"/>
                <w:bCs/>
                <w:sz w:val="21"/>
                <w:szCs w:val="21"/>
              </w:rPr>
              <w:t>方针是：</w:t>
            </w:r>
          </w:p>
          <w:p>
            <w:pPr>
              <w:spacing w:line="360" w:lineRule="auto"/>
              <w:rPr>
                <w:rFonts w:hint="eastAsia"/>
              </w:rPr>
            </w:pPr>
            <w:r>
              <w:rPr>
                <w:rFonts w:hint="eastAsia" w:ascii="宋体" w:hAnsi="宋体"/>
                <w:b w:val="0"/>
                <w:bCs/>
                <w:sz w:val="21"/>
                <w:szCs w:val="21"/>
              </w:rPr>
              <w:t>节约资源  保护环境  遵纪守法  持续改进</w:t>
            </w:r>
          </w:p>
          <w:p>
            <w:pPr>
              <w:spacing w:line="36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识别了办公、销售、质检、生产等过程的环境因素，动态更新，评价出的重要环境因素包括：固体废弃物排放、噪声排放、废气排放、废水排放、火灾事故的发生等。</w:t>
            </w:r>
          </w:p>
          <w:p>
            <w:pPr>
              <w:spacing w:line="360" w:lineRule="auto"/>
              <w:rPr>
                <w:rFonts w:hint="eastAsia" w:ascii="宋体" w:hAnsi="宋体"/>
                <w:b w:val="0"/>
                <w:bCs/>
                <w:sz w:val="21"/>
                <w:szCs w:val="21"/>
              </w:rPr>
            </w:pPr>
            <w:r>
              <w:rPr>
                <w:rFonts w:hint="eastAsia" w:ascii="宋体" w:hAnsi="宋体"/>
                <w:b w:val="0"/>
                <w:bCs/>
                <w:sz w:val="21"/>
                <w:szCs w:val="21"/>
              </w:rPr>
              <w:t>在采购、销售、质检、生产、仓储、运输、交付、日常办公等过程能使用生命周期观点和方法识别环境因素并加以管理。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hint="eastAsia" w:ascii="宋体" w:hAnsi="宋体"/>
                <w:b w:val="0"/>
                <w:bCs/>
                <w:sz w:val="21"/>
                <w:szCs w:val="21"/>
              </w:rPr>
            </w:pPr>
            <w:r>
              <w:rPr>
                <w:rFonts w:hint="eastAsia" w:ascii="宋体" w:hAnsi="宋体"/>
                <w:b w:val="0"/>
                <w:bCs/>
                <w:sz w:val="21"/>
                <w:szCs w:val="21"/>
              </w:rPr>
              <w:t>公司环境目标：</w:t>
            </w:r>
          </w:p>
          <w:p>
            <w:pPr>
              <w:spacing w:line="360" w:lineRule="auto"/>
              <w:rPr>
                <w:rFonts w:hint="eastAsia" w:ascii="宋体" w:hAnsi="宋体"/>
                <w:b w:val="0"/>
                <w:bCs/>
                <w:sz w:val="21"/>
                <w:szCs w:val="21"/>
              </w:rPr>
            </w:pPr>
            <w:r>
              <w:rPr>
                <w:rFonts w:hint="eastAsia" w:ascii="宋体" w:hAnsi="宋体"/>
                <w:b w:val="0"/>
                <w:bCs/>
                <w:sz w:val="21"/>
                <w:szCs w:val="21"/>
              </w:rPr>
              <w:t>1)无重大环境污染事故；</w:t>
            </w:r>
          </w:p>
          <w:p>
            <w:pPr>
              <w:spacing w:line="360" w:lineRule="auto"/>
              <w:rPr>
                <w:rFonts w:hint="eastAsia" w:ascii="宋体" w:hAnsi="宋体"/>
                <w:b w:val="0"/>
                <w:bCs/>
                <w:sz w:val="21"/>
                <w:szCs w:val="21"/>
              </w:rPr>
            </w:pPr>
            <w:r>
              <w:rPr>
                <w:rFonts w:hint="eastAsia" w:ascii="宋体" w:hAnsi="宋体"/>
                <w:b w:val="0"/>
                <w:bCs/>
                <w:sz w:val="21"/>
                <w:szCs w:val="21"/>
              </w:rPr>
              <w:t>2)火灾事故为零；</w:t>
            </w:r>
          </w:p>
          <w:p>
            <w:pPr>
              <w:spacing w:line="360" w:lineRule="auto"/>
              <w:rPr>
                <w:rFonts w:hint="eastAsia" w:ascii="宋体" w:hAnsi="宋体"/>
                <w:b w:val="0"/>
                <w:bCs/>
                <w:sz w:val="21"/>
                <w:szCs w:val="21"/>
              </w:rPr>
            </w:pPr>
            <w:r>
              <w:rPr>
                <w:rFonts w:hint="eastAsia" w:ascii="宋体" w:hAnsi="宋体"/>
                <w:b w:val="0"/>
                <w:bCs/>
                <w:sz w:val="21"/>
                <w:szCs w:val="21"/>
              </w:rPr>
              <w:t>3)环境影响投诉次数为零；</w:t>
            </w:r>
          </w:p>
          <w:p>
            <w:pPr>
              <w:spacing w:line="360" w:lineRule="auto"/>
              <w:rPr>
                <w:rFonts w:ascii="宋体" w:hAnsi="宋体"/>
                <w:b/>
                <w:sz w:val="21"/>
                <w:szCs w:val="21"/>
              </w:rPr>
            </w:pPr>
            <w:r>
              <w:rPr>
                <w:rFonts w:hint="eastAsia" w:ascii="宋体" w:hAnsi="宋体"/>
                <w:b w:val="0"/>
                <w:bCs/>
                <w:sz w:val="21"/>
                <w:szCs w:val="21"/>
              </w:rPr>
              <w:t>4）固体废弃物的分类处理率为100%。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b w:val="0"/>
                <w:bCs/>
                <w:sz w:val="21"/>
                <w:szCs w:val="21"/>
              </w:rPr>
              <w:t>实施的环境体系文件与标准一致，文件管理满足要求。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编制了人力资源管理程序，制定培训计划并实施。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color w:val="000000"/>
                <w:spacing w:val="-10"/>
                <w:sz w:val="21"/>
                <w:szCs w:val="21"/>
                <w:u w:val="none"/>
              </w:rPr>
              <w:t>车床、钻床、</w:t>
            </w:r>
            <w:r>
              <w:rPr>
                <w:rFonts w:hint="eastAsia" w:ascii="宋体" w:hAnsi="宋体"/>
                <w:color w:val="000000"/>
                <w:spacing w:val="-10"/>
                <w:sz w:val="21"/>
                <w:szCs w:val="21"/>
                <w:u w:val="none"/>
                <w:lang w:val="en-US" w:eastAsia="zh-CN"/>
              </w:rPr>
              <w:t>刨床、铣床、加工中心、</w:t>
            </w:r>
            <w:r>
              <w:rPr>
                <w:rFonts w:hint="eastAsia" w:ascii="宋体" w:hAnsi="宋体"/>
                <w:color w:val="000000"/>
                <w:spacing w:val="-10"/>
                <w:sz w:val="21"/>
                <w:szCs w:val="21"/>
                <w:u w:val="none"/>
              </w:rPr>
              <w:t>起重机、水帘净化器、UV 净化器、布袋除尘器</w:t>
            </w:r>
            <w:r>
              <w:rPr>
                <w:rFonts w:hint="eastAsia" w:ascii="宋体" w:hAnsi="宋体"/>
                <w:color w:val="000000"/>
                <w:spacing w:val="-10"/>
                <w:sz w:val="21"/>
                <w:szCs w:val="21"/>
                <w:u w:val="none"/>
                <w:lang w:eastAsia="zh-CN"/>
              </w:rPr>
              <w:t>、</w:t>
            </w:r>
            <w:r>
              <w:rPr>
                <w:rFonts w:hint="eastAsia" w:ascii="宋体" w:hAnsi="宋体"/>
                <w:color w:val="000000"/>
                <w:spacing w:val="-10"/>
                <w:sz w:val="21"/>
                <w:szCs w:val="21"/>
                <w:u w:val="none"/>
                <w:lang w:val="en-US" w:eastAsia="zh-CN"/>
              </w:rPr>
              <w:t>中频熔炼炉</w:t>
            </w:r>
            <w:r>
              <w:rPr>
                <w:rFonts w:hint="eastAsia" w:ascii="宋体" w:hAnsi="宋体"/>
                <w:color w:val="000000"/>
                <w:spacing w:val="-10"/>
                <w:sz w:val="21"/>
                <w:szCs w:val="21"/>
                <w:u w:val="none"/>
              </w:rPr>
              <w:t>、</w:t>
            </w:r>
            <w:r>
              <w:rPr>
                <w:rFonts w:hint="eastAsia" w:ascii="宋体" w:hAnsi="宋体"/>
                <w:color w:val="000000"/>
                <w:spacing w:val="-10"/>
                <w:sz w:val="21"/>
                <w:szCs w:val="21"/>
                <w:u w:val="none"/>
                <w:lang w:val="en-US" w:eastAsia="zh-CN"/>
              </w:rPr>
              <w:t>抛丸机</w:t>
            </w:r>
            <w:r>
              <w:rPr>
                <w:rFonts w:hint="eastAsia" w:ascii="宋体" w:hAnsi="宋体"/>
                <w:color w:val="000000"/>
                <w:spacing w:val="-10"/>
                <w:sz w:val="21"/>
                <w:szCs w:val="21"/>
                <w:u w:val="none"/>
              </w:rPr>
              <w:t>、</w:t>
            </w:r>
            <w:r>
              <w:rPr>
                <w:rFonts w:hint="eastAsia" w:ascii="宋体" w:hAnsi="宋体"/>
                <w:color w:val="000000"/>
                <w:spacing w:val="-10"/>
                <w:sz w:val="21"/>
                <w:szCs w:val="21"/>
                <w:u w:val="none"/>
                <w:lang w:val="en-US" w:eastAsia="zh-CN"/>
              </w:rPr>
              <w:t>碾轮式混砂机、</w:t>
            </w:r>
            <w:r>
              <w:rPr>
                <w:rFonts w:hint="eastAsia" w:ascii="宋体" w:hAnsi="宋体"/>
                <w:sz w:val="21"/>
                <w:szCs w:val="21"/>
                <w:u w:val="none"/>
              </w:rPr>
              <w:t>电脑、打印机、网络、电话等设施设备</w:t>
            </w:r>
            <w:r>
              <w:rPr>
                <w:rFonts w:hint="eastAsia" w:ascii="宋体" w:hAnsi="宋体"/>
                <w:color w:val="000000"/>
                <w:spacing w:val="-10"/>
                <w:sz w:val="21"/>
                <w:szCs w:val="21"/>
                <w:u w:val="none"/>
                <w:lang w:val="en-US" w:eastAsia="zh-CN"/>
              </w:rPr>
              <w:t>等</w:t>
            </w:r>
            <w:r>
              <w:rPr>
                <w:rFonts w:hint="eastAsia" w:ascii="宋体" w:hAnsi="宋体"/>
                <w:sz w:val="21"/>
                <w:szCs w:val="21"/>
                <w:u w:val="none"/>
              </w:rPr>
              <w:t>，有生产和办公场所能满足要求</w:t>
            </w:r>
            <w:r>
              <w:rPr>
                <w:rFonts w:hint="eastAsia" w:ascii="宋体" w:hAnsi="宋体"/>
                <w:sz w:val="21"/>
                <w:szCs w:val="21"/>
                <w:u w:val="none"/>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产品生产产品对环境没有特殊要求，生产车间和办公环境整洁布局合理满足要求。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无需环保和职业健康安全监视和测量资源。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和管理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分类垃圾桶、水帘净化器、UV净化器、布袋除尘器。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内部沟通的情况：内部沟通方式：</w:t>
            </w:r>
            <w:r>
              <w:rPr>
                <w:rFonts w:hint="eastAsia" w:asciiTheme="minorEastAsia" w:hAnsiTheme="minorEastAsia" w:eastAsiaTheme="minorEastAsia"/>
                <w:sz w:val="21"/>
                <w:szCs w:val="21"/>
                <w:u w:val="single"/>
              </w:rPr>
              <w:t>培训、会议、宣传栏；</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 xml:space="preserve">                内部沟通的效果：</w:t>
            </w:r>
            <w:r>
              <w:rPr>
                <w:rFonts w:hint="eastAsia" w:asciiTheme="minorEastAsia" w:hAnsiTheme="minorEastAsia" w:eastAsiaTheme="minorEastAsia"/>
                <w:sz w:val="21"/>
                <w:szCs w:val="21"/>
                <w:u w:val="single"/>
              </w:rPr>
              <w:t>沟通畅通；</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组织对外联络，关注顾客的感受情况（QMS）：</w:t>
            </w:r>
            <w:r>
              <w:rPr>
                <w:rFonts w:hint="eastAsia" w:asciiTheme="minorEastAsia" w:hAnsiTheme="minorEastAsia" w:eastAsiaTheme="minorEastAsia"/>
                <w:sz w:val="21"/>
                <w:szCs w:val="21"/>
                <w:u w:val="single"/>
              </w:rPr>
              <w:t xml:space="preserve"> 。</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外部信息的接收、成文并答复的情况（E、S填写）：</w:t>
            </w:r>
            <w:r>
              <w:rPr>
                <w:rFonts w:hint="eastAsia" w:asciiTheme="minorEastAsia" w:hAnsiTheme="minorEastAsia" w:eastAsiaTheme="minorEastAsia"/>
                <w:sz w:val="21"/>
                <w:szCs w:val="21"/>
                <w:u w:val="single"/>
              </w:rPr>
              <w:t>参加相关部门组织的会议，接收相关部门下达的通知并在公司内部沟通传达。</w:t>
            </w:r>
          </w:p>
          <w:p>
            <w:pPr>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重要环境因素信息对外交流情况（EMS填写）：</w:t>
            </w:r>
            <w:r>
              <w:rPr>
                <w:rFonts w:hint="eastAsia" w:asciiTheme="minorEastAsia" w:hAnsiTheme="minorEastAsia" w:eastAsiaTheme="minorEastAsia"/>
                <w:sz w:val="21"/>
                <w:szCs w:val="21"/>
                <w:u w:val="single"/>
              </w:rPr>
              <w:t>对相关方进行环保告知。</w:t>
            </w:r>
          </w:p>
          <w:p>
            <w:pPr>
              <w:spacing w:line="360" w:lineRule="auto"/>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360" w:lineRule="auto"/>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ind w:firstLine="207" w:firstLineChars="98"/>
              <w:rPr>
                <w:rFonts w:ascii="宋体" w:hAnsi="宋体"/>
                <w:b/>
                <w:sz w:val="21"/>
                <w:szCs w:val="21"/>
              </w:rPr>
            </w:pPr>
            <w:r>
              <w:rPr>
                <w:rFonts w:hint="eastAsia" w:ascii="宋体" w:hAnsi="宋体"/>
                <w:b/>
                <w:sz w:val="21"/>
                <w:szCs w:val="21"/>
              </w:rPr>
              <w:t>（附相关证据）：</w:t>
            </w:r>
          </w:p>
          <w:p>
            <w:pPr>
              <w:spacing w:line="360" w:lineRule="auto"/>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ind w:firstLine="48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1、废水管控：</w:t>
            </w:r>
            <w:r>
              <w:rPr>
                <w:rFonts w:hint="eastAsia" w:cs="宋体" w:asciiTheme="minorEastAsia" w:hAnsiTheme="minorEastAsia" w:eastAsiaTheme="minorEastAsia"/>
                <w:szCs w:val="21"/>
                <w:lang w:val="en-US" w:eastAsia="zh-CN"/>
              </w:rPr>
              <w:t>生产区设置旱厕，人工粪便由周边农户定期清掏用于周边耕地施肥，</w:t>
            </w:r>
            <w:r>
              <w:rPr>
                <w:rFonts w:hint="eastAsia" w:cs="宋体" w:asciiTheme="minorEastAsia" w:hAnsiTheme="minorEastAsia" w:eastAsiaTheme="minorEastAsia"/>
                <w:szCs w:val="21"/>
              </w:rPr>
              <w:t>生活废水经化粪池简单处理后排入政府管网集中处理。</w:t>
            </w:r>
          </w:p>
          <w:p>
            <w:pPr>
              <w:spacing w:line="360" w:lineRule="auto"/>
              <w:ind w:firstLine="48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2、废气管控：</w:t>
            </w:r>
          </w:p>
          <w:p>
            <w:pPr>
              <w:spacing w:line="360" w:lineRule="auto"/>
              <w:ind w:firstLine="48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涂</w:t>
            </w:r>
            <w:r>
              <w:rPr>
                <w:rFonts w:hint="eastAsia" w:cs="宋体" w:asciiTheme="minorEastAsia" w:hAnsiTheme="minorEastAsia" w:eastAsiaTheme="minorEastAsia"/>
                <w:szCs w:val="21"/>
                <w:lang w:val="en-US" w:eastAsia="zh-CN"/>
              </w:rPr>
              <w:t>漆</w:t>
            </w:r>
            <w:r>
              <w:rPr>
                <w:rFonts w:hint="eastAsia" w:cs="宋体" w:asciiTheme="minorEastAsia" w:hAnsiTheme="minorEastAsia" w:eastAsiaTheme="minorEastAsia"/>
                <w:szCs w:val="21"/>
              </w:rPr>
              <w:t>工序废气</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采用水性环氧防腐底漆</w:t>
            </w:r>
            <w:r>
              <w:rPr>
                <w:rFonts w:hint="eastAsia" w:cs="宋体" w:asciiTheme="minorEastAsia" w:hAnsiTheme="minorEastAsia" w:eastAsiaTheme="minorEastAsia"/>
                <w:szCs w:val="21"/>
              </w:rPr>
              <w:t>涂</w:t>
            </w:r>
            <w:r>
              <w:rPr>
                <w:rFonts w:hint="eastAsia" w:cs="宋体" w:asciiTheme="minorEastAsia" w:hAnsiTheme="minorEastAsia" w:eastAsiaTheme="minorEastAsia"/>
                <w:szCs w:val="21"/>
                <w:lang w:val="en-US" w:eastAsia="zh-CN"/>
              </w:rPr>
              <w:t>漆</w:t>
            </w:r>
            <w:r>
              <w:rPr>
                <w:rFonts w:hint="eastAsia" w:cs="宋体" w:asciiTheme="minorEastAsia" w:hAnsiTheme="minorEastAsia" w:eastAsiaTheme="minorEastAsia"/>
                <w:szCs w:val="21"/>
              </w:rPr>
              <w:t>工艺</w:t>
            </w:r>
            <w:r>
              <w:rPr>
                <w:rFonts w:hint="eastAsia" w:cs="宋体" w:asciiTheme="minorEastAsia" w:hAnsiTheme="minorEastAsia" w:eastAsiaTheme="minorEastAsia"/>
                <w:szCs w:val="21"/>
                <w:lang w:val="en-US" w:eastAsia="zh-CN"/>
              </w:rPr>
              <w:t>产生的</w:t>
            </w:r>
            <w:r>
              <w:rPr>
                <w:rFonts w:hint="eastAsia" w:cs="宋体" w:asciiTheme="minorEastAsia" w:hAnsiTheme="minorEastAsia" w:eastAsiaTheme="minorEastAsia"/>
                <w:szCs w:val="21"/>
              </w:rPr>
              <w:t>有机废</w:t>
            </w:r>
            <w:r>
              <w:rPr>
                <w:rFonts w:hint="eastAsia" w:cs="宋体" w:asciiTheme="minorEastAsia" w:hAnsiTheme="minorEastAsia" w:eastAsiaTheme="minorEastAsia"/>
                <w:szCs w:val="21"/>
                <w:lang w:val="en-US" w:eastAsia="zh-CN"/>
              </w:rPr>
              <w:t>气</w:t>
            </w:r>
            <w:r>
              <w:rPr>
                <w:rFonts w:hint="eastAsia" w:cs="宋体" w:asciiTheme="minorEastAsia" w:hAnsiTheme="minorEastAsia" w:eastAsiaTheme="minorEastAsia"/>
                <w:szCs w:val="21"/>
              </w:rPr>
              <w:t>通过负压真空管进入UV</w:t>
            </w:r>
            <w:r>
              <w:rPr>
                <w:rFonts w:hint="eastAsia" w:cs="宋体" w:asciiTheme="minorEastAsia" w:hAnsiTheme="minorEastAsia" w:eastAsiaTheme="minorEastAsia"/>
                <w:szCs w:val="21"/>
                <w:lang w:val="en-US" w:eastAsia="zh-CN"/>
              </w:rPr>
              <w:t>光氧催化净化器经初级过滤、活性炭吸附、</w:t>
            </w:r>
            <w:r>
              <w:rPr>
                <w:rFonts w:hint="eastAsia" w:cs="宋体" w:asciiTheme="minorEastAsia" w:hAnsiTheme="minorEastAsia" w:eastAsiaTheme="minorEastAsia"/>
                <w:szCs w:val="21"/>
              </w:rPr>
              <w:t>UV</w:t>
            </w:r>
            <w:r>
              <w:rPr>
                <w:rFonts w:hint="eastAsia" w:cs="宋体" w:asciiTheme="minorEastAsia" w:hAnsiTheme="minorEastAsia" w:eastAsiaTheme="minorEastAsia"/>
                <w:szCs w:val="21"/>
                <w:lang w:val="en-US" w:eastAsia="zh-CN"/>
              </w:rPr>
              <w:t>光解净化后</w:t>
            </w:r>
            <w:r>
              <w:rPr>
                <w:rFonts w:hint="eastAsia" w:cs="宋体" w:asciiTheme="minorEastAsia" w:hAnsiTheme="minorEastAsia" w:eastAsiaTheme="minorEastAsia"/>
                <w:szCs w:val="21"/>
              </w:rPr>
              <w:t>15</w:t>
            </w:r>
            <w:r>
              <w:rPr>
                <w:rFonts w:hint="eastAsia" w:cs="宋体" w:asciiTheme="minorEastAsia" w:hAnsiTheme="minorEastAsia" w:eastAsiaTheme="minorEastAsia"/>
                <w:szCs w:val="21"/>
                <w:lang w:val="en-US" w:eastAsia="zh-CN"/>
              </w:rPr>
              <w:t>米</w:t>
            </w:r>
            <w:r>
              <w:rPr>
                <w:rFonts w:hint="eastAsia" w:cs="宋体" w:asciiTheme="minorEastAsia" w:hAnsiTheme="minorEastAsia" w:eastAsiaTheme="minorEastAsia"/>
                <w:szCs w:val="21"/>
              </w:rPr>
              <w:t>高排气筒排放。</w:t>
            </w:r>
          </w:p>
          <w:p>
            <w:pPr>
              <w:spacing w:line="360" w:lineRule="auto"/>
              <w:ind w:firstLine="48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中频炉经1台高效脉冲电炉专用布袋除尘器处理后经15m排气筒排放。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抛丸工序粉尘采用1台脉冲滤筒除尘器处理经15m排气筒排放。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天然气锅炉安装了超低氮燃烧器，天然气锅炉废气经10m高排气筒排放。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经无组织废气监测符合排放标准要求。</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3、噪声管控：</w:t>
            </w:r>
          </w:p>
          <w:p>
            <w:pPr>
              <w:adjustRightInd w:val="0"/>
              <w:spacing w:line="360" w:lineRule="auto"/>
              <w:ind w:firstLine="480" w:firstLineChars="200"/>
              <w:jc w:val="left"/>
              <w:rPr>
                <w:rFonts w:ascii="宋体" w:hAnsi="宋体"/>
              </w:rPr>
            </w:pPr>
            <w:r>
              <w:rPr>
                <w:rFonts w:hint="eastAsia" w:cs="宋体" w:asciiTheme="minorEastAsia" w:hAnsiTheme="minorEastAsia" w:eastAsiaTheme="minorEastAsia"/>
                <w:szCs w:val="21"/>
              </w:rPr>
              <w:t>生产过程产生的设备噪声，采取厂房内操作和选用低噪声的设备和工具并做消声和减振处理，同时加强设备的检查和维保，确保机械设备在正常工况下运行，经噪声监测达标排放。</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固废管控：生产过程中主要为</w:t>
            </w:r>
            <w:r>
              <w:rPr>
                <w:rFonts w:hint="eastAsia" w:cs="宋体" w:asciiTheme="minorEastAsia" w:hAnsiTheme="minorEastAsia" w:eastAsiaTheme="minorEastAsia"/>
                <w:szCs w:val="21"/>
                <w:lang w:val="en-US" w:eastAsia="zh-CN"/>
              </w:rPr>
              <w:t>铁</w:t>
            </w:r>
            <w:r>
              <w:rPr>
                <w:rFonts w:hint="eastAsia" w:cs="宋体" w:asciiTheme="minorEastAsia" w:hAnsiTheme="minorEastAsia" w:eastAsiaTheme="minorEastAsia"/>
                <w:szCs w:val="21"/>
              </w:rPr>
              <w:t>削和废品</w:t>
            </w:r>
            <w:r>
              <w:rPr>
                <w:rFonts w:hint="eastAsia" w:cs="宋体" w:asciiTheme="minorEastAsia" w:hAnsiTheme="minorEastAsia" w:eastAsiaTheme="minorEastAsia"/>
                <w:szCs w:val="21"/>
                <w:lang w:val="en-US" w:eastAsia="zh-CN"/>
              </w:rPr>
              <w:t>,回炉用铸件加工</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铝削及</w:t>
            </w:r>
            <w:r>
              <w:rPr>
                <w:rFonts w:hint="eastAsia" w:cs="宋体" w:asciiTheme="minorEastAsia" w:hAnsiTheme="minorEastAsia" w:eastAsiaTheme="minorEastAsia"/>
                <w:szCs w:val="21"/>
              </w:rPr>
              <w:t>废品生产部将</w:t>
            </w:r>
            <w:r>
              <w:rPr>
                <w:rFonts w:hint="eastAsia" w:cs="宋体" w:asciiTheme="minorEastAsia" w:hAnsiTheme="minorEastAsia" w:eastAsiaTheme="minorEastAsia"/>
                <w:szCs w:val="21"/>
                <w:lang w:val="en-US" w:eastAsia="zh-CN"/>
              </w:rPr>
              <w:t>其</w:t>
            </w:r>
            <w:r>
              <w:rPr>
                <w:rFonts w:hint="eastAsia" w:cs="宋体" w:asciiTheme="minorEastAsia" w:hAnsiTheme="minorEastAsia" w:eastAsiaTheme="minorEastAsia"/>
                <w:szCs w:val="21"/>
              </w:rPr>
              <w:t>废弃物放置固定位置，积攒一定量后出售有处理能力的单位回收再利用。危险废物为车间含油抹布、废油桶、废切削液桶，采取集中收集定期回收的方式处理。</w:t>
            </w:r>
          </w:p>
          <w:p>
            <w:pPr>
              <w:numPr>
                <w:ilvl w:val="0"/>
                <w:numId w:val="4"/>
              </w:num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能源资源管控：</w:t>
            </w:r>
          </w:p>
          <w:p>
            <w:pPr>
              <w:spacing w:line="360" w:lineRule="auto"/>
              <w:ind w:firstLine="48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生产过程注意节水、节电</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人走关闭设备和照明开关，现场未发现有漏水和浪费电能的现象。</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6、产品生命周期的环境管控：</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公司从工艺设计和采购产品时已考虑了产品的环保性（包括原材料），生产过程中，严格按照环保等管理制度实施，控制好辅助材料的用量，避免浪费，生命周期终了时钢材</w:t>
            </w:r>
            <w:r>
              <w:rPr>
                <w:rFonts w:hint="eastAsia" w:cs="宋体" w:asciiTheme="minorEastAsia" w:hAnsiTheme="minorEastAsia" w:eastAsiaTheme="minorEastAsia"/>
                <w:szCs w:val="21"/>
                <w:lang w:val="en-US" w:eastAsia="zh-CN"/>
              </w:rPr>
              <w:t>进行了</w:t>
            </w:r>
            <w:r>
              <w:rPr>
                <w:rFonts w:hint="eastAsia" w:cs="宋体" w:asciiTheme="minorEastAsia" w:hAnsiTheme="minorEastAsia" w:eastAsiaTheme="minorEastAsia"/>
                <w:szCs w:val="21"/>
              </w:rPr>
              <w:t>回收再利用。</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7、潜在火灾管控：公司生产车间和办公区域配备了灭火器。</w:t>
            </w:r>
          </w:p>
          <w:p>
            <w:pPr>
              <w:adjustRightInd w:val="0"/>
              <w:spacing w:line="360" w:lineRule="auto"/>
              <w:ind w:firstLine="480" w:firstLineChars="200"/>
              <w:jc w:val="left"/>
              <w:rPr>
                <w:rFonts w:hint="eastAsia" w:ascii="宋体" w:hAnsi="宋体"/>
              </w:rPr>
            </w:pPr>
            <w:r>
              <w:rPr>
                <w:rFonts w:hint="eastAsia" w:cs="宋体" w:asciiTheme="minorEastAsia" w:hAnsiTheme="minorEastAsia" w:eastAsiaTheme="minorEastAsia"/>
                <w:szCs w:val="21"/>
              </w:rPr>
              <w:t>8、按有关程序和要求通报供方和顾客，采用〈告知函〉方式通报。查到相关方告知书。</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公司确定的紧急情况有：火灾、人身伤害等。提供了应急预案，其中包括目的、适用范围、职责、应急处理细则、演习、必备资料等，相关内容基本充分。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现场查看生产车间和办公区域有灭火器，在有效期内</w:t>
            </w:r>
            <w:r>
              <w:rPr>
                <w:rFonts w:hint="eastAsia" w:ascii="宋体" w:hAnsi="宋体" w:cs="宋体"/>
                <w:sz w:val="21"/>
                <w:szCs w:val="21"/>
                <w:lang w:eastAsia="zh-CN"/>
              </w:rPr>
              <w:t>，</w:t>
            </w:r>
            <w:r>
              <w:rPr>
                <w:rFonts w:hint="eastAsia" w:ascii="宋体" w:hAnsi="宋体" w:cs="宋体"/>
                <w:sz w:val="21"/>
                <w:szCs w:val="21"/>
                <w:lang w:val="en-US" w:eastAsia="zh-CN"/>
              </w:rPr>
              <w:t>但不能提供消防器材检查记录，不符合要求。</w:t>
            </w:r>
          </w:p>
          <w:p>
            <w:pPr>
              <w:spacing w:line="360" w:lineRule="auto"/>
              <w:rPr>
                <w:rFonts w:ascii="宋体" w:hAnsi="宋体"/>
                <w:b/>
                <w:sz w:val="21"/>
                <w:szCs w:val="21"/>
              </w:rPr>
            </w:pPr>
            <w:r>
              <w:rPr>
                <w:rFonts w:hint="eastAsia" w:ascii="宋体" w:hAnsi="宋体"/>
                <w:b w:val="0"/>
                <w:bCs/>
                <w:sz w:val="21"/>
                <w:szCs w:val="21"/>
              </w:rPr>
              <w:t>2020.5.15日进行了消防应急预案演练，演练后对应急预案的可操作性和充分性进行了评价。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Theme="minorEastAsia" w:hAnsiTheme="minorEastAsia" w:eastAsiaTheme="minorEastAsia"/>
                <w:sz w:val="21"/>
                <w:szCs w:val="21"/>
                <w:u w:val="none"/>
              </w:rPr>
              <w:t>起重机年检合格。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211" w:firstLineChars="100"/>
              <w:rPr>
                <w:rFonts w:ascii="宋体" w:hAnsi="宋体"/>
                <w:b/>
                <w:sz w:val="21"/>
                <w:szCs w:val="21"/>
              </w:rPr>
            </w:pPr>
          </w:p>
          <w:p>
            <w:pPr>
              <w:spacing w:line="240" w:lineRule="exact"/>
              <w:ind w:firstLine="210" w:firstLineChars="100"/>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b w:val="0"/>
                <w:bCs/>
                <w:sz w:val="21"/>
                <w:szCs w:val="21"/>
              </w:rPr>
              <w:t>定期进行环境目标完成情况的检查。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1"/>
                <w:szCs w:val="21"/>
              </w:rPr>
            </w:pPr>
            <w:r>
              <w:rPr>
                <w:rFonts w:hint="eastAsia"/>
                <w:b/>
                <w:color w:val="000000" w:themeColor="text1"/>
                <w:sz w:val="21"/>
                <w:szCs w:val="21"/>
              </w:rPr>
              <w:t>了解内审的策划;</w:t>
            </w:r>
          </w:p>
          <w:p>
            <w:pPr>
              <w:spacing w:line="360" w:lineRule="auto"/>
              <w:rPr>
                <w:b/>
                <w:color w:val="000000" w:themeColor="text1"/>
                <w:sz w:val="21"/>
                <w:szCs w:val="21"/>
              </w:rPr>
            </w:pPr>
            <w:r>
              <w:rPr>
                <w:rFonts w:hint="eastAsia"/>
                <w:b/>
                <w:color w:val="000000" w:themeColor="text1"/>
                <w:sz w:val="21"/>
                <w:szCs w:val="21"/>
              </w:rPr>
              <w:t xml:space="preserve">  </w:t>
            </w:r>
            <w:r>
              <w:rPr>
                <w:rFonts w:hint="eastAsia" w:asciiTheme="minorEastAsia" w:hAnsiTheme="minorEastAsia" w:eastAsiaTheme="minorEastAsia"/>
                <w:sz w:val="21"/>
                <w:szCs w:val="21"/>
                <w:u w:val="single"/>
              </w:rPr>
              <w:t>每年一次，本次20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.1</w:t>
            </w:r>
            <w:r>
              <w:rPr>
                <w:rFonts w:hint="eastAsia" w:asciiTheme="minorEastAsia" w:hAnsiTheme="minorEastAsia" w:eastAsiaTheme="minorEastAsia"/>
                <w:sz w:val="21"/>
                <w:szCs w:val="21"/>
                <w:u w:val="single"/>
                <w:lang w:val="en-US" w:eastAsia="zh-CN"/>
              </w:rPr>
              <w:t>5-16</w:t>
            </w:r>
            <w:r>
              <w:rPr>
                <w:rFonts w:hint="eastAsia" w:asciiTheme="minorEastAsia" w:hAnsiTheme="minorEastAsia" w:eastAsiaTheme="minorEastAsia"/>
                <w:sz w:val="21"/>
                <w:szCs w:val="21"/>
                <w:u w:val="single"/>
              </w:rPr>
              <w:t>日内审。</w:t>
            </w:r>
          </w:p>
          <w:p>
            <w:pPr>
              <w:spacing w:line="360" w:lineRule="auto"/>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360" w:lineRule="auto"/>
              <w:rPr>
                <w:rFonts w:ascii="宋体" w:hAnsi="宋体"/>
                <w:b/>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4.管理评审（管理评审体系变更需求，纠正和预防措施、体系有效性等）</w:t>
            </w:r>
          </w:p>
          <w:p>
            <w:pPr>
              <w:spacing w:line="360" w:lineRule="auto"/>
              <w:ind w:firstLine="210" w:firstLineChars="100"/>
              <w:rPr>
                <w:rFonts w:hint="eastAsia" w:ascii="宋体" w:hAnsi="宋体" w:eastAsia="宋体" w:cs="宋体"/>
                <w:b/>
                <w:color w:val="000000" w:themeColor="text1"/>
                <w:sz w:val="21"/>
                <w:szCs w:val="21"/>
              </w:rPr>
            </w:pPr>
            <w:r>
              <w:rPr>
                <w:rFonts w:hint="eastAsia" w:ascii="宋体" w:hAnsi="宋体" w:eastAsia="宋体" w:cs="宋体"/>
                <w:sz w:val="21"/>
                <w:szCs w:val="21"/>
                <w:u w:val="single"/>
              </w:rPr>
              <w:t>每年一次，2019.</w:t>
            </w:r>
            <w:r>
              <w:rPr>
                <w:rFonts w:hint="eastAsia" w:ascii="宋体" w:hAnsi="宋体" w:eastAsia="宋体" w:cs="宋体"/>
                <w:sz w:val="21"/>
                <w:szCs w:val="21"/>
                <w:u w:val="single"/>
                <w:lang w:val="en-US" w:eastAsia="zh-CN"/>
              </w:rPr>
              <w:t>8</w:t>
            </w:r>
            <w:r>
              <w:rPr>
                <w:rFonts w:hint="eastAsia" w:ascii="宋体" w:hAnsi="宋体" w:eastAsia="宋体" w:cs="宋体"/>
                <w:sz w:val="21"/>
                <w:szCs w:val="21"/>
                <w:u w:val="single"/>
              </w:rPr>
              <w:t>.2</w:t>
            </w:r>
            <w:r>
              <w:rPr>
                <w:rFonts w:hint="eastAsia" w:ascii="宋体" w:hAnsi="宋体" w:eastAsia="宋体" w:cs="宋体"/>
                <w:sz w:val="21"/>
                <w:szCs w:val="21"/>
                <w:u w:val="single"/>
                <w:lang w:val="en-US" w:eastAsia="zh-CN"/>
              </w:rPr>
              <w:t>0</w:t>
            </w:r>
            <w:r>
              <w:rPr>
                <w:rFonts w:hint="eastAsia" w:ascii="宋体" w:hAnsi="宋体" w:eastAsia="宋体" w:cs="宋体"/>
                <w:sz w:val="21"/>
                <w:szCs w:val="21"/>
                <w:u w:val="single"/>
              </w:rPr>
              <w:t>日管理评审。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了解管理评审输入是否充分; </w:t>
            </w:r>
          </w:p>
          <w:p>
            <w:pPr>
              <w:spacing w:line="360" w:lineRule="auto"/>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输入基本充分。</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了解管理评审结论; </w:t>
            </w:r>
          </w:p>
          <w:p>
            <w:pPr>
              <w:spacing w:line="360" w:lineRule="auto"/>
              <w:rPr>
                <w:rFonts w:ascii="宋体" w:hAnsi="宋体"/>
                <w:b/>
                <w:sz w:val="21"/>
                <w:szCs w:val="21"/>
              </w:rPr>
            </w:pPr>
            <w:r>
              <w:rPr>
                <w:rFonts w:hint="eastAsia" w:ascii="宋体" w:hAnsi="宋体" w:eastAsia="宋体" w:cs="宋体"/>
                <w:sz w:val="21"/>
                <w:szCs w:val="21"/>
                <w:u w:val="single"/>
              </w:rPr>
              <w:t>　公司的管理体系是适宜的、充分的和有效的，达到了顾客满意和持续改进的目的。</w:t>
            </w:r>
            <w:r>
              <w:rPr>
                <w:rFonts w:hint="eastAsia" w:ascii="宋体" w:hAnsi="宋体"/>
                <w:sz w:val="21"/>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360" w:lineRule="auto"/>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26日陕西秦景蓝环境检测有限公司出具《监测报告》,对厂界噪声、废气无组织排放、废气有组织排放进行了监测，结果如下：</w:t>
            </w:r>
          </w:p>
          <w:p>
            <w:pPr>
              <w:pStyle w:val="2"/>
              <w:spacing w:line="360" w:lineRule="auto"/>
              <w:jc w:val="both"/>
              <w:rPr>
                <w:rFonts w:hint="default"/>
                <w:lang w:val="en-US" w:eastAsia="zh-CN"/>
              </w:rPr>
            </w:pPr>
            <w:r>
              <w:rPr>
                <w:rFonts w:hint="eastAsia" w:ascii="宋体" w:hAnsi="宋体" w:eastAsia="宋体" w:cs="宋体"/>
                <w:b/>
                <w:bCs/>
                <w:sz w:val="21"/>
                <w:szCs w:val="21"/>
                <w:lang w:val="en-US" w:eastAsia="zh-CN"/>
              </w:rPr>
              <w:t>厂界噪声：</w:t>
            </w:r>
            <w:r>
              <w:rPr>
                <w:rFonts w:hint="eastAsia" w:ascii="宋体" w:hAnsi="宋体" w:eastAsia="宋体" w:cs="宋体"/>
                <w:sz w:val="21"/>
                <w:szCs w:val="21"/>
                <w:lang w:val="en-US" w:eastAsia="zh-CN"/>
              </w:rPr>
              <w:t>本次监测期间,宝鸡天王机械有限责任公司厂界噪声昼、夜监测结果符合GB 12348-2008 《工业企业厂界环境噪声排放标准》表1中2类标准限值。</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废气无组织排放</w:t>
            </w:r>
            <w:r>
              <w:rPr>
                <w:rFonts w:hint="eastAsia" w:ascii="宋体" w:hAnsi="宋体" w:eastAsia="宋体" w:cs="宋体"/>
                <w:sz w:val="21"/>
                <w:szCs w:val="21"/>
                <w:lang w:val="en-US" w:eastAsia="zh-CN"/>
              </w:rPr>
              <w:t>：本次监测期间,宝鸡天王机械有限责任公司厂界废气中苯、甲苯、二甲苯、非甲烷总烃无组织排放监测结果符合DB 61/T 1061-2017 《挥发性有机物排放控制标准》表3中浓度限值。</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废气有组织排放：</w:t>
            </w:r>
            <w:r>
              <w:rPr>
                <w:rFonts w:hint="eastAsia" w:ascii="宋体" w:hAnsi="宋体" w:eastAsia="宋体" w:cs="宋体"/>
                <w:b w:val="0"/>
                <w:bCs w:val="0"/>
                <w:sz w:val="21"/>
                <w:szCs w:val="21"/>
                <w:lang w:val="en-US" w:eastAsia="zh-CN"/>
              </w:rPr>
              <w:t>本次监测期间,宝鸡天王机械有限责任公司刷漆房排气筒出口废气中苯、甲苯、二甲苯、非甲烷总烃浓度监测结果符合DB 61/T 1061-2017 《挥发性有机物排放控制标准》表1中表面涂装排放限值;非甲烷总烃去除效率参照电子产品制造,非甲烷总烃排放速率≤1.5kg/h,等同于满足最低去除效率限制要求。浇铸工序及熔化炉排气筒出口废气中非甲烷总烃、甲醛监测结果符合GB 16297-1996 《大气污染物综合排放标准》表2中二级排放限值;颗粒物监测结果符合GB 9078-1996《工业炉窑大气污染物排放标准》表2二级中排放限值。</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到2016年12月 《宝鸡天王机械有限责任公司变速箱零配件生产项目现状环境影响评估表》，评价证书编号：1959  编制单位：江苏久力环境工程有限公司；</w:t>
            </w:r>
          </w:p>
          <w:p>
            <w:pPr>
              <w:spacing w:line="360" w:lineRule="auto"/>
              <w:rPr>
                <w:rFonts w:hint="eastAsia" w:ascii="宋体" w:hAnsi="宋体"/>
                <w:b w:val="0"/>
                <w:bCs/>
                <w:sz w:val="21"/>
                <w:szCs w:val="21"/>
              </w:rPr>
            </w:pPr>
            <w:r>
              <w:rPr>
                <w:rFonts w:hint="eastAsia" w:ascii="宋体" w:hAnsi="宋体"/>
                <w:b w:val="0"/>
                <w:bCs/>
                <w:sz w:val="21"/>
                <w:szCs w:val="21"/>
              </w:rPr>
              <w:t>查到2016.11.30 宝高新经发发[2016]20号《宝鸡高新区管委会关于变速箱零配件生产项目备案的通知》；</w:t>
            </w:r>
          </w:p>
          <w:p>
            <w:pPr>
              <w:spacing w:line="360" w:lineRule="auto"/>
              <w:rPr>
                <w:rFonts w:ascii="宋体" w:hAnsi="宋体"/>
                <w:b/>
                <w:sz w:val="21"/>
                <w:szCs w:val="21"/>
              </w:rPr>
            </w:pPr>
            <w:r>
              <w:rPr>
                <w:rFonts w:hint="eastAsia" w:ascii="宋体" w:hAnsi="宋体"/>
                <w:b w:val="0"/>
                <w:bCs/>
                <w:sz w:val="21"/>
                <w:szCs w:val="21"/>
              </w:rPr>
              <w:t>查到2016.12.12 宝鸡市环境保护局高新分局，高新环函[2016]269号《关于宝鸡天王机械有限责任公司变速箱零配件生产项目现状环境影响评估表申请备案的意见》，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360" w:lineRule="auto"/>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360" w:lineRule="auto"/>
              <w:rPr>
                <w:rFonts w:hint="eastAsia" w:ascii="宋体" w:hAnsi="宋体"/>
                <w:b/>
                <w:sz w:val="21"/>
                <w:szCs w:val="21"/>
                <w:lang w:val="en-US" w:eastAsia="zh-CN"/>
              </w:rPr>
            </w:pPr>
            <w:r>
              <w:rPr>
                <w:rFonts w:hint="eastAsia" w:ascii="宋体" w:hAnsi="宋体"/>
                <w:b/>
                <w:sz w:val="21"/>
                <w:szCs w:val="21"/>
              </w:rPr>
              <w:t>创新情况</w:t>
            </w:r>
          </w:p>
          <w:p>
            <w:pPr>
              <w:numPr>
                <w:ilvl w:val="0"/>
                <w:numId w:val="0"/>
              </w:numPr>
              <w:spacing w:line="360" w:lineRule="auto"/>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0"/>
              <w:rPr>
                <w:rFonts w:ascii="宋体" w:hAnsi="宋体"/>
                <w:b/>
                <w:sz w:val="21"/>
                <w:szCs w:val="21"/>
              </w:rPr>
            </w:pPr>
            <w:r>
              <w:rPr>
                <w:rFonts w:hint="eastAsia" w:ascii="宋体" w:hAnsi="宋体"/>
                <w:kern w:val="0"/>
                <w:sz w:val="21"/>
                <w:szCs w:val="21"/>
                <w:lang w:val="en-US" w:eastAsia="zh-CN"/>
              </w:rPr>
              <w:t>上年度审核</w:t>
            </w:r>
            <w:r>
              <w:rPr>
                <w:rFonts w:hint="eastAsia" w:ascii="宋体" w:hAnsi="宋体"/>
                <w:kern w:val="0"/>
                <w:sz w:val="21"/>
                <w:szCs w:val="21"/>
              </w:rPr>
              <w:t>问题</w:t>
            </w:r>
            <w:r>
              <w:rPr>
                <w:rFonts w:hint="eastAsia" w:ascii="宋体" w:hAnsi="宋体"/>
                <w:color w:val="000000" w:themeColor="text1"/>
                <w:szCs w:val="21"/>
              </w:rPr>
              <w:t>，经现场验证已关闭，整改措施有效。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auto"/>
        <w:rPr>
          <w:b/>
          <w:sz w:val="16"/>
          <w:szCs w:val="16"/>
        </w:rPr>
      </w:pPr>
      <w:r>
        <w:rPr>
          <w:rFonts w:hint="eastAsia"/>
          <w:b/>
          <w:sz w:val="26"/>
          <w:szCs w:val="26"/>
        </w:rPr>
        <w:t>八、本次审核不符合项</w:t>
      </w:r>
    </w:p>
    <w:p>
      <w:pPr>
        <w:spacing w:line="360" w:lineRule="auto"/>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auto"/>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jc w:val="center"/>
        </w:trPr>
        <w:tc>
          <w:tcPr>
            <w:tcW w:w="9523" w:type="dxa"/>
            <w:vAlign w:val="center"/>
          </w:tcPr>
          <w:p>
            <w:pPr>
              <w:spacing w:line="360" w:lineRule="auto"/>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360" w:lineRule="auto"/>
              <w:ind w:left="331" w:leftChars="88" w:hanging="120" w:hangingChars="50"/>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360" w:lineRule="auto"/>
              <w:ind w:firstLine="210" w:firstLineChars="100"/>
              <w:rPr>
                <w:rFonts w:ascii="宋体" w:hAnsi="宋体"/>
                <w:b w:val="0"/>
                <w:bCs/>
                <w:i w:val="0"/>
                <w:iCs w:val="0"/>
                <w:sz w:val="21"/>
                <w:szCs w:val="21"/>
              </w:rPr>
            </w:pPr>
            <w:r>
              <w:rPr>
                <w:rFonts w:hint="eastAsia"/>
                <w:b w:val="0"/>
                <w:bCs/>
                <w:i w:val="0"/>
                <w:iCs w:val="0"/>
                <w:color w:val="000000" w:themeColor="text1"/>
                <w:sz w:val="21"/>
                <w:szCs w:val="21"/>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360" w:lineRule="auto"/>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360" w:lineRule="auto"/>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60" w:lineRule="auto"/>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60" w:lineRule="auto"/>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line="360" w:lineRule="auto"/>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auto"/>
        <w:rPr>
          <w:b/>
          <w:bCs/>
          <w:sz w:val="21"/>
          <w:szCs w:val="28"/>
        </w:rPr>
      </w:pPr>
    </w:p>
    <w:p>
      <w:pPr>
        <w:tabs>
          <w:tab w:val="left" w:pos="645"/>
        </w:tabs>
        <w:spacing w:after="163" w:afterLines="50" w:line="360" w:lineRule="auto"/>
        <w:rPr>
          <w:b/>
          <w:sz w:val="16"/>
          <w:szCs w:val="16"/>
        </w:rPr>
      </w:pPr>
      <w:r>
        <w:rPr>
          <w:rFonts w:hint="eastAsia"/>
          <w:b/>
          <w:sz w:val="26"/>
          <w:szCs w:val="26"/>
        </w:rPr>
        <w:t>十二、审核组签字</w:t>
      </w:r>
    </w:p>
    <w:p>
      <w:pPr>
        <w:snapToGrid w:val="0"/>
        <w:spacing w:line="360" w:lineRule="auto"/>
        <w:ind w:firstLine="600" w:firstLineChars="250"/>
        <w:rPr>
          <w:rFonts w:hint="default" w:eastAsia="宋体"/>
          <w:b/>
          <w:sz w:val="21"/>
          <w:lang w:val="en-US" w:eastAsia="zh-CN"/>
        </w:rPr>
      </w:pPr>
      <w:r>
        <w:drawing>
          <wp:anchor distT="0" distB="0" distL="114300" distR="114300" simplePos="0" relativeHeight="251661312" behindDoc="0" locked="0" layoutInCell="1" allowOverlap="1">
            <wp:simplePos x="0" y="0"/>
            <wp:positionH relativeFrom="column">
              <wp:posOffset>2094230</wp:posOffset>
            </wp:positionH>
            <wp:positionV relativeFrom="paragraph">
              <wp:posOffset>161925</wp:posOffset>
            </wp:positionV>
            <wp:extent cx="402590" cy="318770"/>
            <wp:effectExtent l="0" t="0" r="381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2590" cy="318770"/>
                    </a:xfrm>
                    <a:prstGeom prst="rect">
                      <a:avLst/>
                    </a:prstGeom>
                    <a:noFill/>
                    <a:ln>
                      <a:noFill/>
                    </a:ln>
                  </pic:spPr>
                </pic:pic>
              </a:graphicData>
            </a:graphic>
          </wp:anchor>
        </w:drawing>
      </w:r>
      <w:r>
        <w:rPr>
          <w:rFonts w:hint="eastAsia"/>
          <w:b/>
          <w:sz w:val="21"/>
        </w:rPr>
        <w:t>审核组组长（签名）：</w:t>
      </w:r>
      <w:r>
        <w:rPr>
          <w:rFonts w:hint="eastAsia"/>
          <w:b/>
          <w:sz w:val="21"/>
          <w:lang w:val="en-US" w:eastAsia="zh-CN"/>
        </w:rPr>
        <w:t xml:space="preserve">   </w:t>
      </w:r>
    </w:p>
    <w:p>
      <w:pPr>
        <w:snapToGrid w:val="0"/>
        <w:spacing w:before="163" w:beforeLines="50" w:line="360" w:lineRule="auto"/>
        <w:ind w:firstLine="527" w:firstLineChars="250"/>
        <w:rPr>
          <w:b/>
          <w:sz w:val="21"/>
        </w:rPr>
      </w:pPr>
      <w:r>
        <w:rPr>
          <w:rFonts w:hint="eastAsia"/>
          <w:b/>
          <w:sz w:val="21"/>
        </w:rPr>
        <w:t>审核组组员（签名）：</w:t>
      </w:r>
    </w:p>
    <w:p>
      <w:pPr>
        <w:snapToGrid w:val="0"/>
        <w:spacing w:line="360" w:lineRule="auto"/>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2020.9.24</w:t>
      </w:r>
    </w:p>
    <w:p>
      <w:pPr>
        <w:snapToGrid w:val="0"/>
        <w:spacing w:line="360" w:lineRule="auto"/>
        <w:ind w:firstLine="482" w:firstLineChars="300"/>
        <w:rPr>
          <w:b/>
          <w:sz w:val="16"/>
          <w:szCs w:val="16"/>
        </w:rPr>
      </w:pPr>
    </w:p>
    <w:p>
      <w:pPr>
        <w:tabs>
          <w:tab w:val="left" w:pos="645"/>
        </w:tabs>
        <w:spacing w:after="163" w:afterLines="50" w:line="360" w:lineRule="auto"/>
        <w:rPr>
          <w:b/>
          <w:bCs/>
          <w:sz w:val="16"/>
          <w:szCs w:val="16"/>
        </w:rPr>
      </w:pPr>
      <w:r>
        <w:rPr>
          <w:rFonts w:hint="eastAsia"/>
          <w:b/>
          <w:sz w:val="26"/>
          <w:szCs w:val="26"/>
        </w:rPr>
        <w:t>十三、纠正措施验证及结论</w:t>
      </w:r>
      <w:r>
        <w:rPr>
          <w:rFonts w:hint="eastAsia"/>
          <w:b/>
          <w:bCs/>
          <w:sz w:val="16"/>
          <w:szCs w:val="16"/>
        </w:rPr>
        <w:t>：</w:t>
      </w:r>
    </w:p>
    <w:p>
      <w:pPr>
        <w:spacing w:line="360" w:lineRule="auto"/>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auto"/>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auto"/>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line="480" w:lineRule="auto"/>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line="480" w:lineRule="auto"/>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bookmarkStart w:id="29" w:name="_GoBack"/>
      <w:bookmarkEnd w:id="29"/>
    </w:p>
    <w:p>
      <w:pPr>
        <w:tabs>
          <w:tab w:val="left" w:pos="6880"/>
          <w:tab w:val="left" w:pos="7740"/>
          <w:tab w:val="left" w:pos="8385"/>
        </w:tabs>
        <w:snapToGrid w:val="0"/>
        <w:spacing w:before="163" w:beforeLines="50" w:line="480" w:lineRule="auto"/>
        <w:ind w:firstLine="823" w:firstLineChars="343"/>
        <w:rPr>
          <w:rFonts w:hint="eastAsia"/>
          <w:b/>
          <w:sz w:val="26"/>
          <w:szCs w:val="26"/>
        </w:rPr>
      </w:pPr>
      <w:r>
        <w:drawing>
          <wp:anchor distT="0" distB="0" distL="114300" distR="114300" simplePos="0" relativeHeight="251662336" behindDoc="0" locked="0" layoutInCell="1" allowOverlap="1">
            <wp:simplePos x="0" y="0"/>
            <wp:positionH relativeFrom="column">
              <wp:posOffset>1435100</wp:posOffset>
            </wp:positionH>
            <wp:positionV relativeFrom="paragraph">
              <wp:posOffset>88900</wp:posOffset>
            </wp:positionV>
            <wp:extent cx="354330" cy="280035"/>
            <wp:effectExtent l="0" t="0" r="1270"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4330" cy="28003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2020.9.27</w:t>
      </w:r>
    </w:p>
    <w:p>
      <w:pPr>
        <w:spacing w:line="480" w:lineRule="auto"/>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line="480" w:lineRule="auto"/>
        <w:rPr>
          <w:b/>
          <w:sz w:val="21"/>
          <w:u w:val="single"/>
        </w:rPr>
      </w:pPr>
    </w:p>
    <w:p>
      <w:pPr>
        <w:spacing w:line="480" w:lineRule="auto"/>
        <w:rPr>
          <w:b/>
          <w:sz w:val="26"/>
          <w:szCs w:val="26"/>
        </w:rPr>
      </w:pPr>
      <w:r>
        <w:rPr>
          <w:rFonts w:hint="eastAsia"/>
          <w:b/>
          <w:sz w:val="26"/>
          <w:szCs w:val="26"/>
        </w:rPr>
        <w:t>十五、认证评定与批准</w:t>
      </w:r>
    </w:p>
    <w:p>
      <w:pPr>
        <w:numPr>
          <w:ilvl w:val="0"/>
          <w:numId w:val="6"/>
        </w:numPr>
        <w:spacing w:line="48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48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480" w:lineRule="auto"/>
        <w:rPr>
          <w:b/>
          <w:szCs w:val="24"/>
        </w:rPr>
      </w:pPr>
      <w:r>
        <w:rPr>
          <w:rFonts w:hint="eastAsia"/>
          <w:b/>
          <w:szCs w:val="24"/>
        </w:rPr>
        <w:t>批准结论：</w:t>
      </w:r>
      <w:r>
        <w:rPr>
          <w:rFonts w:hint="eastAsia"/>
          <w:b/>
          <w:szCs w:val="24"/>
          <w:lang w:val="en-US" w:eastAsia="zh-CN"/>
        </w:rPr>
        <w:t xml:space="preserve">  </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48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480" w:lineRule="auto"/>
        <w:rPr>
          <w:b/>
          <w:sz w:val="26"/>
          <w:szCs w:val="26"/>
        </w:rPr>
      </w:pPr>
      <w:r>
        <w:rPr>
          <w:rFonts w:hint="eastAsia"/>
          <w:b/>
          <w:sz w:val="26"/>
          <w:szCs w:val="26"/>
        </w:rPr>
        <w:t>十六、审核报告的发放范围：</w:t>
      </w:r>
    </w:p>
    <w:p>
      <w:pPr>
        <w:snapToGrid w:val="0"/>
        <w:spacing w:line="480" w:lineRule="auto"/>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480" w:lineRule="auto"/>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480" w:lineRule="auto"/>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480" w:lineRule="auto"/>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480" w:lineRule="auto"/>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480" w:lineRule="auto"/>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480" w:lineRule="auto"/>
        <w:rPr>
          <w:rFonts w:ascii="宋体"/>
          <w:b/>
          <w:sz w:val="26"/>
          <w:szCs w:val="26"/>
        </w:rPr>
      </w:pPr>
      <w:r>
        <w:rPr>
          <w:rFonts w:hint="eastAsia" w:ascii="宋体" w:hAnsi="宋体"/>
          <w:b/>
          <w:sz w:val="26"/>
          <w:szCs w:val="26"/>
        </w:rPr>
        <w:t>十八、填表说明：</w:t>
      </w:r>
    </w:p>
    <w:p>
      <w:pPr>
        <w:spacing w:line="480" w:lineRule="auto"/>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480" w:lineRule="auto"/>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480" w:lineRule="auto"/>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480" w:lineRule="auto"/>
        <w:ind w:left="316" w:hanging="316" w:hangingChars="150"/>
        <w:rPr>
          <w:b/>
          <w:sz w:val="21"/>
        </w:rPr>
      </w:pPr>
      <w:r>
        <w:rPr>
          <w:b/>
          <w:sz w:val="21"/>
        </w:rPr>
        <w:t xml:space="preserve">4. </w:t>
      </w:r>
      <w:r>
        <w:rPr>
          <w:rFonts w:hint="eastAsia"/>
          <w:b/>
          <w:sz w:val="21"/>
        </w:rPr>
        <w:t>公正性声明和审核报告签字处需本人亲笔签名。</w:t>
      </w:r>
    </w:p>
    <w:p>
      <w:pPr>
        <w:snapToGrid w:val="0"/>
        <w:spacing w:line="480" w:lineRule="auto"/>
        <w:jc w:val="left"/>
        <w:rPr>
          <w:b/>
          <w:sz w:val="21"/>
          <w:szCs w:val="21"/>
        </w:rPr>
      </w:pPr>
    </w:p>
    <w:p>
      <w:pPr>
        <w:snapToGrid w:val="0"/>
        <w:spacing w:line="480" w:lineRule="auto"/>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spacing w:line="480" w:lineRule="auto"/>
        <w:ind w:firstLine="354" w:firstLineChars="147"/>
        <w:jc w:val="left"/>
        <w:rPr>
          <w:rFonts w:ascii="方正仿宋简体" w:eastAsia="方正仿宋简体"/>
          <w:b/>
        </w:rPr>
      </w:pPr>
    </w:p>
    <w:p>
      <w:pPr>
        <w:snapToGrid w:val="0"/>
        <w:spacing w:line="480" w:lineRule="auto"/>
        <w:ind w:firstLine="310" w:firstLineChars="147"/>
        <w:jc w:val="left"/>
        <w:rPr>
          <w:b/>
          <w:sz w:val="21"/>
          <w:szCs w:val="21"/>
        </w:rPr>
      </w:pPr>
      <w:r>
        <w:rPr>
          <w:rFonts w:hint="eastAsia" w:ascii="方正仿宋简体" w:eastAsia="方正仿宋简体"/>
          <w:b/>
          <w:sz w:val="21"/>
          <w:szCs w:val="21"/>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B80F8"/>
    <w:multiLevelType w:val="singleLevel"/>
    <w:tmpl w:val="C2BB80F8"/>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12006D7E"/>
    <w:multiLevelType w:val="singleLevel"/>
    <w:tmpl w:val="12006D7E"/>
    <w:lvl w:ilvl="0" w:tentative="0">
      <w:start w:val="3"/>
      <w:numFmt w:val="decimal"/>
      <w:suff w:val="space"/>
      <w:lvlText w:val="%1."/>
      <w:lvlJc w:val="left"/>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6B16BE11"/>
    <w:multiLevelType w:val="singleLevel"/>
    <w:tmpl w:val="6B16BE11"/>
    <w:lvl w:ilvl="0" w:tentative="0">
      <w:start w:val="3"/>
      <w:numFmt w:val="decimal"/>
      <w:lvlText w:val="%1."/>
      <w:lvlJc w:val="left"/>
      <w:pPr>
        <w:tabs>
          <w:tab w:val="left" w:pos="312"/>
        </w:tabs>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E11A4F"/>
    <w:rsid w:val="3DE967E1"/>
    <w:rsid w:val="5E4C5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0"/>
    <w:rPr>
      <w:rFonts w:ascii="宋体" w:hAnsi="Courier New"/>
      <w:szCs w:val="21"/>
    </w:rPr>
  </w:style>
  <w:style w:type="paragraph" w:styleId="5">
    <w:name w:val="Balloon Text"/>
    <w:basedOn w:val="1"/>
    <w:link w:val="11"/>
    <w:semiHidden/>
    <w:qFormat/>
    <w:uiPriority w:val="99"/>
    <w:rPr>
      <w:sz w:val="18"/>
      <w:szCs w:val="18"/>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semiHidden/>
    <w:qFormat/>
    <w:locked/>
    <w:uiPriority w:val="99"/>
    <w:rPr>
      <w:rFonts w:ascii="Times New Roman" w:hAnsi="Times New Roman" w:eastAsia="宋体" w:cs="Times New Roman"/>
      <w:sz w:val="18"/>
      <w:szCs w:val="18"/>
    </w:rPr>
  </w:style>
  <w:style w:type="character" w:customStyle="1" w:styleId="13">
    <w:name w:val="页眉 Char"/>
    <w:link w:val="7"/>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2020-09-24T04:07:51Z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