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成都黄氏漆业有限公司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卢道宽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现场未能提供特殊过程（</w:t>
            </w:r>
            <w:r>
              <w:rPr>
                <w:rFonts w:hint="eastAsia"/>
                <w:b/>
                <w:bCs/>
                <w:sz w:val="21"/>
                <w:szCs w:val="21"/>
              </w:rPr>
              <w:t>原料配比、混合搅拌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）的过程能力确认记录。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</w:t>
            </w:r>
            <w:bookmarkStart w:id="7" w:name="_GoBack"/>
            <w:bookmarkEnd w:id="7"/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650276"/>
    <w:rsid w:val="68F07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2020-09-27T05:44:17Z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