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成都黄氏漆业有限公司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2019-N1QMS-1242345</w:t>
            </w:r>
          </w:p>
          <w:p>
            <w:pPr>
              <w:jc w:val="center"/>
              <w:rPr>
                <w:b/>
                <w:sz w:val="21"/>
                <w:szCs w:val="21"/>
              </w:rPr>
            </w:pPr>
            <w:r>
              <w:rPr>
                <w:b/>
                <w:sz w:val="21"/>
                <w:szCs w:val="21"/>
              </w:rPr>
              <w:t>2019-N1EMS-1242345</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李金一</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Q:专家</w:t>
            </w:r>
          </w:p>
          <w:p>
            <w:pPr>
              <w:jc w:val="center"/>
              <w:rPr>
                <w:b/>
                <w:sz w:val="21"/>
                <w:szCs w:val="21"/>
              </w:rPr>
            </w:pPr>
            <w:r>
              <w:rPr>
                <w:b/>
                <w:sz w:val="21"/>
                <w:szCs w:val="21"/>
              </w:rPr>
              <w:t>E:专家</w:t>
            </w:r>
          </w:p>
          <w:p>
            <w:pPr>
              <w:jc w:val="center"/>
              <w:rPr>
                <w:b/>
                <w:sz w:val="21"/>
                <w:szCs w:val="21"/>
              </w:rPr>
            </w:pPr>
          </w:p>
        </w:tc>
        <w:tc>
          <w:tcPr>
            <w:tcW w:w="1699" w:type="dxa"/>
            <w:vAlign w:val="center"/>
          </w:tcPr>
          <w:p>
            <w:pPr>
              <w:jc w:val="center"/>
              <w:rPr>
                <w:b/>
                <w:sz w:val="21"/>
                <w:szCs w:val="21"/>
              </w:rPr>
            </w:pPr>
            <w:r>
              <w:rPr>
                <w:b/>
                <w:sz w:val="21"/>
                <w:szCs w:val="21"/>
              </w:rPr>
              <w:t>ISC-JSZJ-166</w:t>
            </w:r>
          </w:p>
          <w:p>
            <w:pPr>
              <w:jc w:val="center"/>
              <w:rPr>
                <w:b/>
                <w:sz w:val="21"/>
                <w:szCs w:val="21"/>
              </w:rPr>
            </w:pPr>
            <w:r>
              <w:rPr>
                <w:b/>
                <w:sz w:val="21"/>
                <w:szCs w:val="21"/>
              </w:rPr>
              <w:t>ISC-JSZJ-166</w:t>
            </w:r>
          </w:p>
          <w:p>
            <w:pPr>
              <w:jc w:val="center"/>
              <w:rPr>
                <w:b/>
                <w:sz w:val="21"/>
                <w:szCs w:val="21"/>
              </w:rPr>
            </w:pPr>
            <w:r>
              <w:rPr>
                <w:b/>
                <w:sz w:val="21"/>
                <w:szCs w:val="21"/>
              </w:rPr>
              <w:t>中核三鑫建筑工程有限公司</w:t>
            </w:r>
          </w:p>
        </w:tc>
        <w:tc>
          <w:tcPr>
            <w:tcW w:w="1728" w:type="dxa"/>
            <w:gridSpan w:val="2"/>
            <w:vAlign w:val="center"/>
          </w:tcPr>
          <w:p>
            <w:pPr>
              <w:jc w:val="center"/>
              <w:rPr>
                <w:b/>
                <w:sz w:val="21"/>
                <w:szCs w:val="21"/>
              </w:rPr>
            </w:pPr>
            <w:r>
              <w:rPr>
                <w:b/>
                <w:sz w:val="21"/>
                <w:szCs w:val="21"/>
              </w:rPr>
              <w:t>Q:12.03.00,12.05.02,14.02.01,16.02.05</w:t>
            </w:r>
          </w:p>
          <w:p>
            <w:pPr>
              <w:jc w:val="center"/>
              <w:rPr>
                <w:b/>
                <w:sz w:val="21"/>
                <w:szCs w:val="21"/>
              </w:rPr>
            </w:pPr>
            <w:r>
              <w:rPr>
                <w:b/>
                <w:sz w:val="21"/>
                <w:szCs w:val="21"/>
              </w:rPr>
              <w:t>E:12.03.00,12.05.02,14.02.01,16.02.05</w:t>
            </w:r>
          </w:p>
        </w:tc>
        <w:tc>
          <w:tcPr>
            <w:tcW w:w="1729" w:type="dxa"/>
            <w:gridSpan w:val="2"/>
            <w:vAlign w:val="center"/>
          </w:tcPr>
          <w:p>
            <w:pPr>
              <w:jc w:val="center"/>
              <w:rPr>
                <w:b/>
                <w:sz w:val="21"/>
                <w:szCs w:val="21"/>
              </w:rPr>
            </w:pPr>
            <w:r>
              <w:rPr>
                <w:b/>
                <w:sz w:val="21"/>
                <w:szCs w:val="21"/>
              </w:rPr>
              <w:t>ISC-JSZJ-166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18"/>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3"/>
          </w:tcPr>
          <w:p>
            <w:pPr>
              <w:spacing w:line="260" w:lineRule="exact"/>
              <w:rPr>
                <w:rFonts w:ascii="宋体"/>
                <w:b/>
                <w:color w:val="auto"/>
                <w:sz w:val="21"/>
              </w:rPr>
            </w:pPr>
            <w:bookmarkStart w:id="11" w:name="组织名称Add"/>
            <w:r>
              <w:rPr>
                <w:rFonts w:ascii="宋体"/>
                <w:b/>
                <w:color w:val="auto"/>
                <w:sz w:val="21"/>
              </w:rPr>
              <w:t>成都黄氏漆业有限公司</w:t>
            </w:r>
            <w:bookmarkEnd w:id="11"/>
          </w:p>
        </w:tc>
        <w:tc>
          <w:tcPr>
            <w:tcW w:w="1672" w:type="dxa"/>
            <w:vAlign w:val="center"/>
          </w:tcPr>
          <w:p>
            <w:pPr>
              <w:spacing w:line="260" w:lineRule="exact"/>
              <w:jc w:val="center"/>
              <w:rPr>
                <w:rFonts w:ascii="宋体"/>
                <w:b/>
                <w:color w:val="auto"/>
                <w:sz w:val="21"/>
              </w:rPr>
            </w:pPr>
            <w:r>
              <w:rPr>
                <w:rFonts w:hint="eastAsia" w:ascii="宋体" w:hAnsi="宋体"/>
                <w:b/>
                <w:color w:val="auto"/>
                <w:sz w:val="21"/>
              </w:rPr>
              <w:t>组织人数及</w:t>
            </w:r>
          </w:p>
          <w:p>
            <w:pPr>
              <w:spacing w:line="200" w:lineRule="exact"/>
              <w:rPr>
                <w:b/>
                <w:color w:val="auto"/>
                <w:spacing w:val="-20"/>
              </w:rPr>
            </w:pPr>
            <w:r>
              <w:rPr>
                <w:rFonts w:hint="eastAsia" w:ascii="宋体" w:hAnsi="宋体"/>
                <w:b/>
                <w:color w:val="auto"/>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38人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3"/>
          </w:tcPr>
          <w:p>
            <w:pPr>
              <w:rPr>
                <w:rFonts w:ascii="宋体"/>
                <w:b/>
                <w:sz w:val="21"/>
              </w:rPr>
            </w:pPr>
            <w:bookmarkStart w:id="12" w:name="注册地址"/>
            <w:r>
              <w:rPr>
                <w:rFonts w:ascii="宋体"/>
                <w:b/>
                <w:sz w:val="21"/>
              </w:rPr>
              <w:t>成都市郫县成都现代工业港北片区港中路9号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611730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3"/>
          </w:tcPr>
          <w:p>
            <w:pPr>
              <w:rPr>
                <w:rFonts w:ascii="宋体"/>
                <w:b/>
                <w:sz w:val="21"/>
              </w:rPr>
            </w:pPr>
            <w:bookmarkStart w:id="14" w:name="办公地址"/>
            <w:r>
              <w:rPr>
                <w:rFonts w:ascii="宋体"/>
                <w:b/>
                <w:sz w:val="21"/>
              </w:rPr>
              <w:t>成都市郫县成都现代工业港北片区港中路9号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611730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3"/>
          </w:tcPr>
          <w:p>
            <w:pPr>
              <w:rPr>
                <w:rFonts w:ascii="宋体"/>
                <w:b/>
                <w:sz w:val="21"/>
              </w:rPr>
            </w:pPr>
            <w:bookmarkStart w:id="16" w:name="生产地址Add"/>
            <w:r>
              <w:rPr>
                <w:rFonts w:ascii="宋体"/>
                <w:b/>
                <w:sz w:val="21"/>
              </w:rPr>
              <w:t>成都市郫县成都现代工业港北片区港中路9号</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611730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卢道宽</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vAlign w:val="center"/>
          </w:tcPr>
          <w:p>
            <w:pPr>
              <w:jc w:val="center"/>
              <w:rPr>
                <w:rFonts w:ascii="宋体"/>
                <w:b/>
                <w:sz w:val="21"/>
              </w:rPr>
            </w:pPr>
            <w:bookmarkStart w:id="19" w:name="联系人电话Add"/>
            <w:r>
              <w:rPr>
                <w:rFonts w:ascii="宋体"/>
                <w:b/>
                <w:sz w:val="21"/>
              </w:rPr>
              <w:t>028-87881012</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黄茂林</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tcPr>
          <w:p>
            <w:pPr>
              <w:rPr>
                <w:rFonts w:ascii="宋体" w:hAnsi="宋体"/>
                <w:b/>
                <w:sz w:val="21"/>
                <w:szCs w:val="21"/>
              </w:rPr>
            </w:pPr>
            <w:r>
              <w:rPr>
                <w:rFonts w:ascii="宋体" w:hAnsi="宋体"/>
                <w:b/>
                <w:sz w:val="21"/>
                <w:szCs w:val="21"/>
              </w:rPr>
              <w:t>黄茂林</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卢道宽</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 xml:space="preserve">2020年09月27日 上午至2020年09月29日 </w:t>
            </w:r>
            <w:r>
              <w:rPr>
                <w:rFonts w:hint="eastAsia" w:ascii="宋体" w:hAnsi="宋体"/>
                <w:b/>
                <w:sz w:val="21"/>
                <w:szCs w:val="21"/>
                <w:lang w:val="en-US" w:eastAsia="zh-CN"/>
              </w:rPr>
              <w:t>下</w:t>
            </w:r>
            <w:r>
              <w:rPr>
                <w:rFonts w:ascii="宋体" w:hAnsi="宋体"/>
                <w:b/>
                <w:sz w:val="21"/>
                <w:szCs w:val="21"/>
              </w:rPr>
              <w:t>午</w:t>
            </w:r>
            <w:bookmarkEnd w:id="23"/>
          </w:p>
        </w:tc>
        <w:tc>
          <w:tcPr>
            <w:tcW w:w="1618" w:type="dxa"/>
            <w:vAlign w:val="center"/>
          </w:tcPr>
          <w:p>
            <w:pPr>
              <w:rPr>
                <w:rFonts w:ascii="宋体" w:hAnsi="宋体"/>
                <w:b/>
                <w:sz w:val="21"/>
                <w:szCs w:val="21"/>
              </w:rPr>
            </w:pPr>
            <w:r>
              <w:rPr>
                <w:rFonts w:hint="eastAsia" w:ascii="宋体" w:hAnsi="宋体"/>
                <w:b/>
                <w:sz w:val="21"/>
                <w:szCs w:val="21"/>
              </w:rPr>
              <w:t>一体化审核</w:t>
            </w:r>
          </w:p>
        </w:tc>
        <w:tc>
          <w:tcPr>
            <w:tcW w:w="3172" w:type="dxa"/>
            <w:gridSpan w:val="2"/>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0" w:lineRule="atLeast"/>
              <w:jc w:val="left"/>
              <w:rPr>
                <w:sz w:val="20"/>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r>
              <w:rPr>
                <w:rFonts w:ascii="Helvetica" w:hAnsi="Helvetica" w:eastAsia="Helvetica" w:cs="Helvetica"/>
                <w:i w:val="0"/>
                <w:caps w:val="0"/>
                <w:color w:val="000000"/>
                <w:spacing w:val="0"/>
                <w:sz w:val="21"/>
                <w:szCs w:val="21"/>
                <w:u w:val="none"/>
                <w:shd w:val="clear" w:fill="FFFFFF"/>
              </w:rPr>
              <w:t>涂料、胶粘剂、墙体保温材料（聚合聚苯板、水泥基发泡保温材料）的生产（需资质许可除外</w:t>
            </w:r>
            <w:bookmarkStart w:id="29" w:name="_GoBack"/>
            <w:bookmarkEnd w:id="29"/>
            <w:r>
              <w:rPr>
                <w:rFonts w:ascii="Helvetica" w:hAnsi="Helvetica" w:eastAsia="Helvetica" w:cs="Helvetica"/>
                <w:i w:val="0"/>
                <w:caps w:val="0"/>
                <w:color w:val="000000"/>
                <w:spacing w:val="0"/>
                <w:sz w:val="21"/>
                <w:szCs w:val="21"/>
                <w:u w:val="none"/>
                <w:shd w:val="clear" w:fill="FFFFFF"/>
              </w:rPr>
              <w:t>）</w:t>
            </w:r>
            <w:bookmarkEnd w:id="25"/>
          </w:p>
          <w:p>
            <w:pPr>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r>
              <w:rPr>
                <w:rFonts w:ascii="Helvetica" w:hAnsi="Helvetica" w:eastAsia="Helvetica" w:cs="Helvetica"/>
                <w:i w:val="0"/>
                <w:caps w:val="0"/>
                <w:color w:val="000000"/>
                <w:spacing w:val="0"/>
                <w:sz w:val="21"/>
                <w:szCs w:val="21"/>
                <w:u w:val="none"/>
                <w:shd w:val="clear" w:fill="FFFFFF"/>
              </w:rPr>
              <w:t>涂料、胶粘剂、墙体保温材料（聚合聚苯板、水泥基发泡保温材料）的生产（需资质许可除外）及相关环境管理活动</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A3"/>
            </w:r>
            <w:r>
              <w:rPr>
                <w:rFonts w:hint="eastAsia" w:ascii="宋体" w:hAnsi="宋体"/>
                <w:b/>
                <w:sz w:val="21"/>
                <w:szCs w:val="21"/>
              </w:rPr>
              <w:t>否</w:t>
            </w:r>
          </w:p>
        </w:tc>
        <w:tc>
          <w:tcPr>
            <w:tcW w:w="7588" w:type="dxa"/>
            <w:gridSpan w:val="5"/>
          </w:tcPr>
          <w:p>
            <w:pPr>
              <w:spacing w:line="360" w:lineRule="exact"/>
              <w:rPr>
                <w:rFonts w:hint="eastAsia" w:ascii="宋体" w:hAnsi="宋体"/>
                <w:b/>
                <w:sz w:val="21"/>
                <w:szCs w:val="21"/>
                <w:lang w:val="en-US" w:eastAsia="zh-CN"/>
              </w:rPr>
            </w:pPr>
            <w:r>
              <w:rPr>
                <w:rFonts w:hint="eastAsia" w:ascii="宋体" w:hAnsi="宋体"/>
                <w:b/>
                <w:sz w:val="21"/>
                <w:szCs w:val="21"/>
              </w:rPr>
              <w:t>变更的认证范围</w:t>
            </w:r>
            <w:r>
              <w:rPr>
                <w:rFonts w:ascii="宋体" w:hAnsi="宋体"/>
                <w:b/>
                <w:sz w:val="21"/>
                <w:szCs w:val="21"/>
              </w:rPr>
              <w:t xml:space="preserve">:    </w:t>
            </w:r>
            <w:r>
              <w:rPr>
                <w:rFonts w:hint="eastAsia" w:ascii="宋体" w:hAnsi="宋体"/>
                <w:b/>
                <w:sz w:val="21"/>
                <w:szCs w:val="21"/>
                <w:lang w:val="en-US" w:eastAsia="zh-CN"/>
              </w:rPr>
              <w:t>原人数：24人</w:t>
            </w:r>
          </w:p>
          <w:p>
            <w:pPr>
              <w:spacing w:line="360" w:lineRule="exact"/>
              <w:rPr>
                <w:rFonts w:hint="default" w:ascii="宋体" w:hAnsi="宋体"/>
                <w:b/>
                <w:sz w:val="21"/>
                <w:szCs w:val="21"/>
                <w:lang w:val="en-US" w:eastAsia="zh-CN"/>
              </w:rPr>
            </w:pPr>
            <w:r>
              <w:rPr>
                <w:rFonts w:hint="eastAsia" w:ascii="宋体" w:hAnsi="宋体"/>
                <w:b/>
                <w:sz w:val="21"/>
                <w:szCs w:val="21"/>
                <w:lang w:val="en-US" w:eastAsia="zh-CN"/>
              </w:rPr>
              <w:t xml:space="preserve">                   变更后人数：38人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Q：12.03.00;12.05.02;14.02.01;16.02.05</w:t>
            </w:r>
          </w:p>
          <w:p>
            <w:pPr>
              <w:spacing w:line="260" w:lineRule="exact"/>
              <w:rPr>
                <w:rFonts w:ascii="宋体" w:hAnsi="宋体"/>
                <w:b/>
                <w:sz w:val="21"/>
                <w:szCs w:val="21"/>
              </w:rPr>
            </w:pPr>
            <w:r>
              <w:rPr>
                <w:rFonts w:ascii="宋体" w:hAnsi="宋体"/>
                <w:b/>
                <w:sz w:val="21"/>
                <w:szCs w:val="21"/>
              </w:rPr>
              <w:t>E：12.03.00;12.05.02;14.02.01;16.02.05</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tcPr>
          <w:p>
            <w:pPr>
              <w:spacing w:line="260" w:lineRule="exact"/>
              <w:rPr>
                <w:rFonts w:ascii="宋体" w:hAnsi="宋体"/>
                <w:b/>
                <w:sz w:val="21"/>
                <w:szCs w:val="21"/>
              </w:rPr>
            </w:pPr>
            <w:r>
              <w:rPr>
                <w:rFonts w:ascii="Helvetica" w:hAnsi="Helvetica" w:eastAsia="Helvetica" w:cs="Helvetica"/>
                <w:i w:val="0"/>
                <w:caps w:val="0"/>
                <w:color w:val="000000"/>
                <w:spacing w:val="0"/>
                <w:sz w:val="21"/>
                <w:szCs w:val="21"/>
                <w:u w:val="none"/>
                <w:shd w:val="clear" w:fill="FFFFFF"/>
              </w:rPr>
              <w:t>2022-09-03</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ascii="Helvetica" w:hAnsi="Helvetica" w:eastAsia="Helvetica" w:cs="Helvetica"/>
                <w:i w:val="0"/>
                <w:caps w:val="0"/>
                <w:color w:val="000000"/>
                <w:spacing w:val="0"/>
                <w:sz w:val="21"/>
                <w:szCs w:val="21"/>
                <w:u w:val="none"/>
                <w:shd w:val="clear" w:fill="FFFFFF"/>
              </w:rPr>
              <w:t>2019-08-16</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2019年08月16日至2020年09月29日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8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jc w:val="center"/>
        </w:trPr>
        <w:tc>
          <w:tcPr>
            <w:tcW w:w="9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8998" w:type="dxa"/>
          </w:tcPr>
          <w:p>
            <w:pPr>
              <w:spacing w:line="240" w:lineRule="exact"/>
              <w:rPr>
                <w:rFonts w:hint="eastAsia" w:ascii="宋体" w:hAnsi="宋体"/>
                <w:b/>
                <w:sz w:val="21"/>
                <w:szCs w:val="21"/>
                <w:highlight w:val="none"/>
              </w:rPr>
            </w:pPr>
            <w:r>
              <w:rPr>
                <w:rFonts w:ascii="宋体" w:hAnsi="宋体"/>
                <w:b/>
                <w:sz w:val="21"/>
                <w:szCs w:val="21"/>
              </w:rPr>
              <w:t>1</w:t>
            </w:r>
            <w:r>
              <w:rPr>
                <w:rFonts w:hint="eastAsia" w:ascii="宋体" w:hAnsi="宋体"/>
                <w:b/>
                <w:sz w:val="21"/>
                <w:szCs w:val="21"/>
              </w:rPr>
              <w:t>、组织及其环境的</w:t>
            </w:r>
            <w:r>
              <w:rPr>
                <w:rFonts w:hint="eastAsia" w:ascii="宋体" w:hAnsi="宋体"/>
                <w:b/>
                <w:sz w:val="21"/>
                <w:szCs w:val="21"/>
                <w:highlight w:val="none"/>
              </w:rPr>
              <w:t>识别情况</w:t>
            </w:r>
          </w:p>
          <w:p>
            <w:pPr>
              <w:spacing w:line="240" w:lineRule="exact"/>
              <w:ind w:firstLine="400" w:firstLineChars="200"/>
              <w:rPr>
                <w:rFonts w:hint="eastAsia" w:ascii="宋体" w:hAnsi="宋体"/>
                <w:b/>
                <w:sz w:val="21"/>
                <w:szCs w:val="21"/>
              </w:rPr>
            </w:pPr>
            <w:r>
              <w:rPr>
                <w:rFonts w:hint="eastAsia"/>
                <w:sz w:val="20"/>
                <w:szCs w:val="22"/>
                <w:highlight w:val="none"/>
              </w:rPr>
              <w:t>组织对内外部因素、相关方需求和期望进行了充分的识别，策划和实施有效。组织确定了体系的边界，基本适用。管理体系</w:t>
            </w:r>
            <w:r>
              <w:rPr>
                <w:rFonts w:hint="eastAsia"/>
                <w:sz w:val="20"/>
                <w:szCs w:val="22"/>
                <w:highlight w:val="none"/>
                <w:lang w:val="en-US" w:eastAsia="zh-CN"/>
              </w:rPr>
              <w:t>8.3</w:t>
            </w:r>
            <w:r>
              <w:rPr>
                <w:rFonts w:hint="eastAsia"/>
                <w:sz w:val="20"/>
                <w:szCs w:val="22"/>
                <w:highlight w:val="none"/>
              </w:rPr>
              <w:t>条款</w:t>
            </w:r>
            <w:r>
              <w:rPr>
                <w:rFonts w:hint="eastAsia"/>
                <w:sz w:val="20"/>
                <w:szCs w:val="22"/>
                <w:highlight w:val="none"/>
                <w:lang w:val="en-US" w:eastAsia="zh-CN"/>
              </w:rPr>
              <w:t>不</w:t>
            </w:r>
            <w:r>
              <w:rPr>
                <w:rFonts w:hint="eastAsia"/>
                <w:sz w:val="20"/>
                <w:szCs w:val="22"/>
                <w:highlight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jc w:val="center"/>
        </w:trPr>
        <w:tc>
          <w:tcPr>
            <w:tcW w:w="920" w:type="dxa"/>
            <w:vMerge w:val="continue"/>
            <w:textDirection w:val="tbRlV"/>
            <w:vAlign w:val="center"/>
          </w:tcPr>
          <w:p>
            <w:pPr>
              <w:spacing w:line="240" w:lineRule="exact"/>
              <w:ind w:left="241" w:right="113" w:hanging="241" w:hangingChars="100"/>
              <w:jc w:val="center"/>
              <w:rPr>
                <w:rFonts w:ascii="宋体"/>
                <w:b/>
                <w:szCs w:val="21"/>
              </w:rPr>
            </w:pPr>
          </w:p>
        </w:tc>
        <w:tc>
          <w:tcPr>
            <w:tcW w:w="89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00" w:firstLineChars="200"/>
              <w:rPr>
                <w:rFonts w:ascii="Times New Roman" w:hAnsi="Times New Roman" w:eastAsia="宋体" w:cs="Times New Roman"/>
                <w:b/>
                <w:color w:val="000000" w:themeColor="text1"/>
                <w:kern w:val="2"/>
                <w:sz w:val="20"/>
                <w:szCs w:val="20"/>
                <w:lang w:val="en-US" w:eastAsia="zh-CN" w:bidi="ar-SA"/>
              </w:rPr>
            </w:pPr>
            <w:r>
              <w:rPr>
                <w:rFonts w:hint="eastAsia"/>
                <w:sz w:val="20"/>
                <w:szCs w:val="22"/>
                <w:highlight w:val="none"/>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920" w:type="dxa"/>
            <w:vMerge w:val="continue"/>
            <w:textDirection w:val="tbRlV"/>
            <w:vAlign w:val="center"/>
          </w:tcPr>
          <w:p>
            <w:pPr>
              <w:spacing w:line="240" w:lineRule="exact"/>
              <w:ind w:left="241" w:right="113" w:hanging="241" w:hangingChars="100"/>
              <w:jc w:val="center"/>
              <w:rPr>
                <w:rFonts w:ascii="宋体"/>
                <w:b/>
                <w:szCs w:val="21"/>
              </w:rPr>
            </w:pPr>
          </w:p>
        </w:tc>
        <w:tc>
          <w:tcPr>
            <w:tcW w:w="8998" w:type="dxa"/>
          </w:tcPr>
          <w:p>
            <w:pPr>
              <w:numPr>
                <w:ilvl w:val="0"/>
                <w:numId w:val="0"/>
              </w:numPr>
              <w:spacing w:line="360" w:lineRule="auto"/>
              <w:jc w:val="left"/>
              <w:rPr>
                <w:rFonts w:hint="eastAsia" w:ascii="宋体" w:hAnsi="宋体"/>
                <w:b/>
                <w:sz w:val="21"/>
                <w:szCs w:val="21"/>
              </w:rPr>
            </w:pPr>
            <w:r>
              <w:rPr>
                <w:rFonts w:hint="eastAsia" w:ascii="宋体" w:hAnsi="宋体"/>
                <w:b/>
                <w:sz w:val="21"/>
                <w:szCs w:val="21"/>
                <w:lang w:val="en-US" w:eastAsia="zh-CN"/>
              </w:rPr>
              <w:t>3、</w:t>
            </w:r>
            <w:r>
              <w:rPr>
                <w:rFonts w:hint="eastAsia" w:ascii="宋体" w:hAnsi="宋体"/>
                <w:b/>
                <w:sz w:val="21"/>
                <w:szCs w:val="21"/>
              </w:rPr>
              <w:sym w:font="Wingdings 2" w:char="0052"/>
            </w:r>
            <w:r>
              <w:rPr>
                <w:rFonts w:hint="eastAsia" w:ascii="宋体" w:hAnsi="宋体"/>
                <w:b/>
                <w:sz w:val="21"/>
                <w:szCs w:val="21"/>
              </w:rPr>
              <w:t>质量</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240" w:lineRule="exact"/>
              <w:ind w:firstLine="400" w:firstLineChars="200"/>
              <w:rPr>
                <w:rFonts w:hint="eastAsia"/>
                <w:sz w:val="20"/>
                <w:szCs w:val="22"/>
                <w:highlight w:val="none"/>
              </w:rPr>
            </w:pPr>
            <w:r>
              <w:rPr>
                <w:rFonts w:hint="eastAsia"/>
                <w:sz w:val="20"/>
                <w:szCs w:val="22"/>
                <w:highlight w:val="none"/>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240" w:lineRule="exact"/>
              <w:ind w:firstLine="400" w:firstLineChars="200"/>
              <w:rPr>
                <w:rFonts w:hint="eastAsia"/>
                <w:sz w:val="20"/>
                <w:szCs w:val="22"/>
                <w:highlight w:val="none"/>
              </w:rPr>
            </w:pPr>
            <w:r>
              <w:rPr>
                <w:rFonts w:hint="eastAsia"/>
                <w:sz w:val="20"/>
                <w:szCs w:val="22"/>
                <w:highlight w:val="none"/>
              </w:rPr>
              <w:t>质量方针：以高质量生产、优质服务，不断追求质量的持续改进，向顾客与社会提供高质量产品。</w:t>
            </w:r>
          </w:p>
          <w:p>
            <w:pPr>
              <w:spacing w:line="240" w:lineRule="exact"/>
              <w:ind w:firstLine="400" w:firstLineChars="200"/>
              <w:rPr>
                <w:rFonts w:ascii="宋体" w:hAnsi="宋体"/>
                <w:b/>
                <w:sz w:val="21"/>
                <w:szCs w:val="21"/>
              </w:rPr>
            </w:pPr>
            <w:r>
              <w:rPr>
                <w:rFonts w:hint="eastAsia"/>
                <w:sz w:val="20"/>
                <w:szCs w:val="22"/>
                <w:highlight w:val="none"/>
              </w:rPr>
              <w:t>环境方针：污染预防，全员环保，自觉遵守国家和地方有关环境保护方面的法律法规，并保障所需资源的投入。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jc w:val="center"/>
        </w:trPr>
        <w:tc>
          <w:tcPr>
            <w:tcW w:w="920" w:type="dxa"/>
            <w:vMerge w:val="continue"/>
            <w:textDirection w:val="tbRlV"/>
            <w:vAlign w:val="center"/>
          </w:tcPr>
          <w:p>
            <w:pPr>
              <w:spacing w:line="240" w:lineRule="exact"/>
              <w:ind w:left="241" w:right="113" w:hanging="241" w:hangingChars="100"/>
              <w:jc w:val="center"/>
              <w:rPr>
                <w:rFonts w:ascii="宋体"/>
                <w:b/>
                <w:szCs w:val="21"/>
              </w:rPr>
            </w:pPr>
          </w:p>
        </w:tc>
        <w:tc>
          <w:tcPr>
            <w:tcW w:w="8998" w:type="dxa"/>
          </w:tcPr>
          <w:p>
            <w:pPr>
              <w:numPr>
                <w:ilvl w:val="0"/>
                <w:numId w:val="1"/>
              </w:numPr>
              <w:spacing w:line="280" w:lineRule="exact"/>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firstLine="400" w:firstLineChars="200"/>
              <w:rPr>
                <w:rFonts w:hint="eastAsia" w:ascii="宋体" w:hAnsi="宋体"/>
                <w:b/>
                <w:sz w:val="21"/>
                <w:szCs w:val="21"/>
              </w:rPr>
            </w:pPr>
            <w:r>
              <w:rPr>
                <w:rFonts w:hint="eastAsia"/>
                <w:sz w:val="20"/>
                <w:szCs w:val="22"/>
                <w:highlight w:val="none"/>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6" w:hRule="atLeast"/>
          <w:jc w:val="center"/>
        </w:trPr>
        <w:tc>
          <w:tcPr>
            <w:tcW w:w="920" w:type="dxa"/>
            <w:vMerge w:val="continue"/>
            <w:vAlign w:val="center"/>
          </w:tcPr>
          <w:p>
            <w:pPr>
              <w:spacing w:line="240" w:lineRule="exact"/>
              <w:jc w:val="center"/>
              <w:rPr>
                <w:b/>
                <w:sz w:val="20"/>
              </w:rPr>
            </w:pPr>
          </w:p>
        </w:tc>
        <w:tc>
          <w:tcPr>
            <w:tcW w:w="8998" w:type="dxa"/>
          </w:tcPr>
          <w:p>
            <w:pPr>
              <w:spacing w:line="300" w:lineRule="exact"/>
              <w:rPr>
                <w:rFonts w:ascii="宋体" w:hAnsi="宋体"/>
                <w:b/>
                <w:sz w:val="21"/>
                <w:szCs w:val="21"/>
                <w:highlight w:val="none"/>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highlight w:val="none"/>
              </w:rPr>
              <w:t>过程</w:t>
            </w:r>
          </w:p>
          <w:p>
            <w:pPr>
              <w:tabs>
                <w:tab w:val="left" w:pos="540"/>
              </w:tabs>
              <w:spacing w:line="300" w:lineRule="exact"/>
              <w:ind w:left="211" w:hanging="211" w:hangingChars="100"/>
              <w:rPr>
                <w:rFonts w:ascii="宋体" w:hAnsi="宋体"/>
                <w:b/>
                <w:sz w:val="21"/>
                <w:szCs w:val="21"/>
                <w:highlight w:val="none"/>
              </w:rPr>
            </w:pPr>
            <w:r>
              <w:rPr>
                <w:rFonts w:hint="eastAsia" w:ascii="宋体" w:hAnsi="宋体"/>
                <w:b/>
                <w:sz w:val="21"/>
                <w:szCs w:val="21"/>
                <w:highlight w:val="none"/>
              </w:rPr>
              <w:t>质量管理体系过程有：</w:t>
            </w:r>
            <w:r>
              <w:rPr>
                <w:rFonts w:hint="eastAsia"/>
                <w:sz w:val="20"/>
                <w:szCs w:val="22"/>
                <w:highlight w:val="none"/>
              </w:rPr>
              <w:t>涂料、胶粘剂、墙体保温材料（聚合聚苯板、水泥基发泡保温材料）的生产（需资质许可除外）</w:t>
            </w:r>
          </w:p>
          <w:p>
            <w:pPr>
              <w:tabs>
                <w:tab w:val="left" w:pos="540"/>
              </w:tabs>
              <w:spacing w:line="300" w:lineRule="exact"/>
              <w:ind w:left="211" w:hanging="211" w:hangingChars="100"/>
              <w:rPr>
                <w:rFonts w:hint="default"/>
                <w:sz w:val="20"/>
                <w:szCs w:val="22"/>
                <w:highlight w:val="none"/>
                <w:lang w:val="en-US" w:eastAsia="zh-CN"/>
              </w:rPr>
            </w:pPr>
            <w:r>
              <w:rPr>
                <w:rFonts w:hint="eastAsia" w:ascii="宋体" w:hAnsi="宋体"/>
                <w:b/>
                <w:sz w:val="21"/>
                <w:szCs w:val="21"/>
                <w:highlight w:val="none"/>
              </w:rPr>
              <w:t>其中关键过程有</w:t>
            </w:r>
            <w:r>
              <w:rPr>
                <w:rFonts w:hint="eastAsia" w:ascii="宋体" w:hAnsi="宋体"/>
                <w:b/>
                <w:sz w:val="21"/>
                <w:szCs w:val="21"/>
                <w:highlight w:val="none"/>
                <w:lang w:eastAsia="zh-CN"/>
              </w:rPr>
              <w:t>：</w:t>
            </w:r>
            <w:r>
              <w:rPr>
                <w:rFonts w:hint="eastAsia"/>
                <w:sz w:val="20"/>
                <w:szCs w:val="22"/>
                <w:highlight w:val="none"/>
              </w:rPr>
              <w:t>原料配比、混合搅拌</w:t>
            </w:r>
          </w:p>
          <w:p>
            <w:pPr>
              <w:tabs>
                <w:tab w:val="left" w:pos="540"/>
              </w:tabs>
              <w:spacing w:line="300" w:lineRule="exact"/>
              <w:ind w:left="211" w:hanging="211" w:hangingChars="100"/>
              <w:rPr>
                <w:rFonts w:hint="eastAsia"/>
                <w:sz w:val="20"/>
                <w:szCs w:val="22"/>
                <w:highlight w:val="none"/>
                <w:lang w:eastAsia="zh-CN"/>
              </w:rPr>
            </w:pPr>
            <w:r>
              <w:rPr>
                <w:rFonts w:hint="eastAsia" w:ascii="宋体" w:hAnsi="宋体"/>
                <w:b/>
                <w:sz w:val="21"/>
                <w:szCs w:val="21"/>
                <w:highlight w:val="none"/>
              </w:rPr>
              <w:t>需要确认过程</w:t>
            </w:r>
            <w:r>
              <w:rPr>
                <w:rFonts w:hint="eastAsia" w:ascii="宋体" w:hAnsi="宋体"/>
                <w:b/>
                <w:sz w:val="21"/>
                <w:szCs w:val="21"/>
                <w:highlight w:val="none"/>
                <w:lang w:eastAsia="zh-CN"/>
              </w:rPr>
              <w:t>：</w:t>
            </w:r>
            <w:r>
              <w:rPr>
                <w:rFonts w:hint="eastAsia"/>
                <w:sz w:val="20"/>
                <w:szCs w:val="22"/>
                <w:highlight w:val="none"/>
              </w:rPr>
              <w:t>原料配比、混合搅拌</w:t>
            </w:r>
          </w:p>
          <w:p>
            <w:pPr>
              <w:spacing w:line="360" w:lineRule="auto"/>
              <w:ind w:firstLine="422" w:firstLineChars="200"/>
              <w:rPr>
                <w:rFonts w:ascii="宋体" w:hAnsi="宋体"/>
                <w:b/>
                <w:sz w:val="21"/>
                <w:szCs w:val="21"/>
              </w:rPr>
            </w:pPr>
            <w:r>
              <w:rPr>
                <w:rFonts w:hint="eastAsia" w:ascii="宋体" w:hAnsi="宋体"/>
                <w:b/>
                <w:sz w:val="21"/>
                <w:szCs w:val="21"/>
                <w:highlight w:val="none"/>
              </w:rPr>
              <w:t>删减条款是</w:t>
            </w:r>
            <w:r>
              <w:rPr>
                <w:rFonts w:hint="eastAsia" w:ascii="宋体" w:hAnsi="宋体"/>
                <w:b/>
                <w:sz w:val="21"/>
                <w:szCs w:val="21"/>
                <w:highlight w:val="none"/>
                <w:u w:val="single"/>
                <w:lang w:val="en-US" w:eastAsia="zh-CN"/>
              </w:rPr>
              <w:t xml:space="preserve">  8.3条款 </w:t>
            </w:r>
            <w:r>
              <w:rPr>
                <w:rFonts w:hint="eastAsia" w:ascii="宋体" w:hAnsi="宋体"/>
                <w:b/>
                <w:sz w:val="21"/>
                <w:szCs w:val="21"/>
                <w:highlight w:val="none"/>
              </w:rPr>
              <w:t>，删减理由：</w:t>
            </w:r>
            <w:r>
              <w:rPr>
                <w:rFonts w:hint="eastAsia"/>
                <w:sz w:val="20"/>
                <w:szCs w:val="22"/>
                <w:highlight w:val="none"/>
              </w:rPr>
              <w:t>公司的</w:t>
            </w:r>
            <w:r>
              <w:rPr>
                <w:rFonts w:hint="eastAsia"/>
                <w:sz w:val="20"/>
                <w:szCs w:val="22"/>
                <w:highlight w:val="none"/>
                <w:lang w:val="en-US" w:eastAsia="zh-CN"/>
              </w:rPr>
              <w:t>产品根据国家标准进行生产</w:t>
            </w:r>
            <w:r>
              <w:rPr>
                <w:rFonts w:hint="eastAsia"/>
                <w:sz w:val="20"/>
                <w:szCs w:val="22"/>
                <w:highlight w:val="none"/>
              </w:rPr>
              <w:t>，不涉及设计和开发项目。经对此条要求删减后，不影响公司提供满足顾客和适用的法律法规要求的</w:t>
            </w:r>
            <w:r>
              <w:rPr>
                <w:rFonts w:hint="eastAsia"/>
                <w:sz w:val="20"/>
                <w:szCs w:val="22"/>
                <w:highlight w:val="none"/>
                <w:lang w:eastAsia="zh-CN"/>
              </w:rPr>
              <w:t>生产</w:t>
            </w:r>
            <w:r>
              <w:rPr>
                <w:rFonts w:hint="eastAsia"/>
                <w:sz w:val="20"/>
                <w:szCs w:val="22"/>
                <w:highlight w:val="none"/>
              </w:rPr>
              <w:t>的能力，也不免除公司相应的责任，也仍然保持了质量管理体系的完整性。因此，ISO9001：2015标准中的“8.</w:t>
            </w:r>
            <w:r>
              <w:rPr>
                <w:rFonts w:hint="eastAsia"/>
                <w:sz w:val="20"/>
                <w:szCs w:val="22"/>
                <w:highlight w:val="none"/>
                <w:lang w:val="en-US" w:eastAsia="zh-CN"/>
              </w:rPr>
              <w:t>3</w:t>
            </w:r>
            <w:r>
              <w:rPr>
                <w:rFonts w:hint="eastAsia"/>
                <w:sz w:val="20"/>
                <w:szCs w:val="22"/>
                <w:highlight w:val="none"/>
              </w:rPr>
              <w:t>产品和</w:t>
            </w:r>
            <w:r>
              <w:rPr>
                <w:rFonts w:hint="eastAsia"/>
                <w:sz w:val="20"/>
                <w:szCs w:val="22"/>
                <w:highlight w:val="none"/>
                <w:lang w:eastAsia="zh-CN"/>
              </w:rPr>
              <w:t>生产</w:t>
            </w:r>
            <w:r>
              <w:rPr>
                <w:rFonts w:hint="eastAsia"/>
                <w:sz w:val="20"/>
                <w:szCs w:val="22"/>
                <w:highlight w:val="none"/>
              </w:rPr>
              <w:t>的开发”的要求予以删减。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jc w:val="center"/>
        </w:trPr>
        <w:tc>
          <w:tcPr>
            <w:tcW w:w="920" w:type="dxa"/>
            <w:vMerge w:val="continue"/>
            <w:vAlign w:val="center"/>
          </w:tcPr>
          <w:p>
            <w:pPr>
              <w:spacing w:line="240" w:lineRule="exact"/>
              <w:jc w:val="center"/>
              <w:rPr>
                <w:b/>
                <w:sz w:val="20"/>
              </w:rPr>
            </w:pPr>
          </w:p>
        </w:tc>
        <w:tc>
          <w:tcPr>
            <w:tcW w:w="89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sym w:font="Wingdings 2" w:char="0052"/>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400" w:firstLineChars="200"/>
              <w:rPr>
                <w:rFonts w:ascii="宋体" w:hAnsi="宋体"/>
                <w:b/>
                <w:sz w:val="21"/>
                <w:szCs w:val="21"/>
              </w:rPr>
            </w:pPr>
            <w:r>
              <w:rPr>
                <w:rFonts w:hint="eastAsia"/>
                <w:sz w:val="20"/>
                <w:szCs w:val="22"/>
                <w:highlight w:val="none"/>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920" w:type="dxa"/>
            <w:vMerge w:val="continue"/>
            <w:vAlign w:val="center"/>
          </w:tcPr>
          <w:p>
            <w:pPr>
              <w:spacing w:line="240" w:lineRule="exact"/>
              <w:jc w:val="center"/>
              <w:rPr>
                <w:b/>
                <w:sz w:val="20"/>
              </w:rPr>
            </w:pPr>
          </w:p>
        </w:tc>
        <w:tc>
          <w:tcPr>
            <w:tcW w:w="89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920" w:type="dxa"/>
            <w:vMerge w:val="continue"/>
            <w:vAlign w:val="center"/>
          </w:tcPr>
          <w:p>
            <w:pPr>
              <w:spacing w:line="240" w:lineRule="exact"/>
              <w:jc w:val="center"/>
              <w:rPr>
                <w:b/>
                <w:sz w:val="20"/>
              </w:rPr>
            </w:pPr>
          </w:p>
        </w:tc>
        <w:tc>
          <w:tcPr>
            <w:tcW w:w="89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结合公司的■产品/服务■环境因素，■确定 □未确定法律法规要求的具体条款，</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920" w:type="dxa"/>
            <w:vMerge w:val="continue"/>
            <w:vAlign w:val="center"/>
          </w:tcPr>
          <w:p>
            <w:pPr>
              <w:spacing w:line="240" w:lineRule="exact"/>
              <w:jc w:val="center"/>
              <w:rPr>
                <w:b/>
                <w:sz w:val="20"/>
              </w:rPr>
            </w:pPr>
          </w:p>
        </w:tc>
        <w:tc>
          <w:tcPr>
            <w:tcW w:w="89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00" w:firstLineChars="200"/>
              <w:rPr>
                <w:rFonts w:hint="eastAsia"/>
                <w:sz w:val="20"/>
                <w:szCs w:val="22"/>
                <w:highlight w:val="none"/>
              </w:rPr>
            </w:pPr>
            <w:r>
              <w:rPr>
                <w:rFonts w:hint="eastAsia"/>
                <w:sz w:val="20"/>
                <w:szCs w:val="22"/>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240" w:lineRule="exact"/>
              <w:ind w:firstLine="400" w:firstLineChars="200"/>
              <w:rPr>
                <w:rFonts w:hint="eastAsia"/>
                <w:sz w:val="20"/>
                <w:szCs w:val="22"/>
                <w:highlight w:val="none"/>
              </w:rPr>
            </w:pPr>
            <w:r>
              <w:rPr>
                <w:rFonts w:hint="eastAsia"/>
                <w:sz w:val="20"/>
                <w:szCs w:val="22"/>
                <w:highlight w:val="none"/>
              </w:rPr>
              <w:t>公司质量目标：</w:t>
            </w:r>
          </w:p>
          <w:p>
            <w:pPr>
              <w:spacing w:line="240" w:lineRule="exact"/>
              <w:ind w:firstLine="400" w:firstLineChars="200"/>
              <w:rPr>
                <w:rFonts w:hint="eastAsia"/>
                <w:sz w:val="20"/>
                <w:szCs w:val="22"/>
                <w:highlight w:val="none"/>
              </w:rPr>
            </w:pPr>
            <w:r>
              <w:rPr>
                <w:rFonts w:hint="eastAsia"/>
                <w:sz w:val="20"/>
                <w:szCs w:val="22"/>
                <w:highlight w:val="none"/>
              </w:rPr>
              <w:t>1）、一次性生产合格率96%以上</w:t>
            </w:r>
          </w:p>
          <w:p>
            <w:pPr>
              <w:spacing w:line="240" w:lineRule="exact"/>
              <w:ind w:firstLine="400" w:firstLineChars="200"/>
              <w:rPr>
                <w:rFonts w:hint="eastAsia"/>
                <w:sz w:val="20"/>
                <w:szCs w:val="22"/>
                <w:highlight w:val="none"/>
              </w:rPr>
            </w:pPr>
            <w:r>
              <w:rPr>
                <w:rFonts w:hint="eastAsia"/>
                <w:sz w:val="20"/>
                <w:szCs w:val="22"/>
                <w:highlight w:val="none"/>
              </w:rPr>
              <w:t>2）、合同履约率100％；</w:t>
            </w:r>
          </w:p>
          <w:p>
            <w:pPr>
              <w:spacing w:line="240" w:lineRule="exact"/>
              <w:ind w:firstLine="400" w:firstLineChars="200"/>
              <w:rPr>
                <w:rFonts w:hint="eastAsia"/>
                <w:sz w:val="20"/>
                <w:szCs w:val="22"/>
                <w:highlight w:val="none"/>
              </w:rPr>
            </w:pPr>
            <w:r>
              <w:rPr>
                <w:rFonts w:hint="eastAsia"/>
                <w:sz w:val="20"/>
                <w:szCs w:val="22"/>
                <w:highlight w:val="none"/>
              </w:rPr>
              <w:t>3）、顾客满意率达到≥95%。</w:t>
            </w:r>
          </w:p>
          <w:p>
            <w:pPr>
              <w:tabs>
                <w:tab w:val="center" w:pos="4391"/>
              </w:tabs>
              <w:spacing w:line="240" w:lineRule="exact"/>
              <w:ind w:firstLine="400" w:firstLineChars="200"/>
              <w:rPr>
                <w:rFonts w:hint="eastAsia" w:eastAsia="宋体"/>
                <w:sz w:val="20"/>
                <w:szCs w:val="22"/>
                <w:highlight w:val="none"/>
                <w:lang w:eastAsia="zh-CN"/>
              </w:rPr>
            </w:pPr>
            <w:r>
              <w:rPr>
                <w:rFonts w:hint="eastAsia"/>
                <w:sz w:val="20"/>
                <w:szCs w:val="22"/>
                <w:highlight w:val="none"/>
              </w:rPr>
              <w:t>公司环境目标</w:t>
            </w:r>
            <w:r>
              <w:rPr>
                <w:rFonts w:hint="eastAsia"/>
                <w:sz w:val="20"/>
                <w:szCs w:val="22"/>
                <w:highlight w:val="none"/>
                <w:lang w:eastAsia="zh-CN"/>
              </w:rPr>
              <w:tab/>
            </w:r>
          </w:p>
          <w:p>
            <w:pPr>
              <w:spacing w:line="240" w:lineRule="exact"/>
              <w:ind w:firstLine="400" w:firstLineChars="200"/>
              <w:rPr>
                <w:rFonts w:hint="eastAsia"/>
                <w:sz w:val="20"/>
                <w:szCs w:val="22"/>
                <w:highlight w:val="none"/>
              </w:rPr>
            </w:pPr>
            <w:r>
              <w:rPr>
                <w:rFonts w:hint="eastAsia"/>
                <w:sz w:val="20"/>
                <w:szCs w:val="22"/>
                <w:highlight w:val="none"/>
              </w:rPr>
              <w:t>1）、无火灾爆炸事故发生</w:t>
            </w:r>
          </w:p>
          <w:p>
            <w:pPr>
              <w:spacing w:line="240" w:lineRule="exact"/>
              <w:ind w:firstLine="400" w:firstLineChars="200"/>
              <w:rPr>
                <w:rFonts w:hint="eastAsia"/>
                <w:sz w:val="20"/>
                <w:szCs w:val="22"/>
                <w:highlight w:val="none"/>
              </w:rPr>
            </w:pPr>
            <w:r>
              <w:rPr>
                <w:rFonts w:hint="eastAsia"/>
                <w:sz w:val="20"/>
                <w:szCs w:val="22"/>
                <w:highlight w:val="none"/>
              </w:rPr>
              <w:t>2)、固体废弃物分类收集处置</w:t>
            </w:r>
          </w:p>
          <w:p>
            <w:pPr>
              <w:spacing w:line="240" w:lineRule="exact"/>
              <w:ind w:firstLine="400" w:firstLineChars="200"/>
              <w:rPr>
                <w:rFonts w:hint="eastAsia"/>
                <w:sz w:val="20"/>
                <w:szCs w:val="22"/>
                <w:highlight w:val="none"/>
              </w:rPr>
            </w:pPr>
            <w:r>
              <w:rPr>
                <w:rFonts w:hint="eastAsia"/>
                <w:sz w:val="20"/>
                <w:szCs w:val="22"/>
                <w:highlight w:val="none"/>
              </w:rPr>
              <w:t>3）、粉尘排放达标</w:t>
            </w:r>
          </w:p>
          <w:p>
            <w:pPr>
              <w:spacing w:line="240" w:lineRule="exact"/>
              <w:ind w:firstLine="400" w:firstLineChars="200"/>
              <w:rPr>
                <w:rFonts w:ascii="宋体" w:hAnsi="宋体"/>
                <w:b/>
                <w:sz w:val="21"/>
                <w:szCs w:val="21"/>
              </w:rPr>
            </w:pPr>
            <w:r>
              <w:rPr>
                <w:rFonts w:hint="eastAsia"/>
                <w:sz w:val="20"/>
                <w:szCs w:val="22"/>
                <w:highlight w:val="none"/>
              </w:rPr>
              <w:t>4）、噪声排放达标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920" w:type="dxa"/>
            <w:vMerge w:val="continue"/>
            <w:vAlign w:val="center"/>
          </w:tcPr>
          <w:p>
            <w:pPr>
              <w:spacing w:line="240" w:lineRule="exact"/>
              <w:jc w:val="center"/>
              <w:rPr>
                <w:b/>
                <w:sz w:val="20"/>
              </w:rPr>
            </w:pPr>
          </w:p>
        </w:tc>
        <w:tc>
          <w:tcPr>
            <w:tcW w:w="89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sz w:val="20"/>
                <w:szCs w:val="22"/>
                <w:highlight w:val="none"/>
              </w:rPr>
              <w:t>公司按照申请认证的标准要求，建立并形成了文件化的环境管理体系，体系文件对管理体系各过程进行了识别确定、明确了各要素间的相互关系及其管控要求。公司体系文件于2018 年12月</w:t>
            </w:r>
            <w:r>
              <w:rPr>
                <w:rFonts w:hint="eastAsia"/>
                <w:sz w:val="20"/>
                <w:szCs w:val="22"/>
                <w:highlight w:val="none"/>
                <w:lang w:val="en-US" w:eastAsia="zh-CN"/>
              </w:rPr>
              <w:t>1</w:t>
            </w:r>
            <w:r>
              <w:rPr>
                <w:rFonts w:hint="eastAsia"/>
                <w:sz w:val="20"/>
                <w:szCs w:val="22"/>
                <w:highlight w:val="none"/>
              </w:rPr>
              <w:t>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9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8998" w:type="dxa"/>
          </w:tcPr>
          <w:p>
            <w:pPr>
              <w:spacing w:line="300" w:lineRule="exact"/>
              <w:rPr>
                <w:rFonts w:ascii="宋体" w:hAnsi="宋体"/>
                <w:b/>
                <w:sz w:val="21"/>
                <w:szCs w:val="21"/>
                <w:highlight w:val="none"/>
              </w:rPr>
            </w:pPr>
            <w:r>
              <w:rPr>
                <w:rFonts w:hint="eastAsia" w:ascii="宋体" w:hAnsi="宋体"/>
                <w:b/>
                <w:sz w:val="21"/>
                <w:szCs w:val="21"/>
                <w:highlight w:val="none"/>
              </w:rPr>
              <w:t>人力资源的简要说明</w:t>
            </w:r>
            <w:r>
              <w:rPr>
                <w:rFonts w:ascii="宋体" w:hAnsi="宋体"/>
                <w:b/>
                <w:sz w:val="21"/>
                <w:szCs w:val="21"/>
                <w:highlight w:val="none"/>
              </w:rPr>
              <w:t>.:</w:t>
            </w:r>
          </w:p>
          <w:p>
            <w:pPr>
              <w:tabs>
                <w:tab w:val="left" w:pos="540"/>
              </w:tabs>
              <w:spacing w:line="240" w:lineRule="exact"/>
              <w:rPr>
                <w:rFonts w:hint="eastAsia"/>
                <w:sz w:val="20"/>
                <w:szCs w:val="22"/>
                <w:highlight w:val="none"/>
              </w:rPr>
            </w:pPr>
            <w:r>
              <w:rPr>
                <w:rFonts w:hint="eastAsia" w:ascii="宋体" w:hAnsi="宋体"/>
                <w:b/>
                <w:sz w:val="21"/>
                <w:szCs w:val="21"/>
                <w:highlight w:val="none"/>
                <w:lang w:val="en-US" w:eastAsia="zh-CN"/>
              </w:rPr>
              <w:t xml:space="preserve"> </w:t>
            </w:r>
            <w:r>
              <w:rPr>
                <w:rFonts w:hint="eastAsia"/>
                <w:sz w:val="20"/>
                <w:szCs w:val="22"/>
                <w:highlight w:val="none"/>
                <w:lang w:val="en-US" w:eastAsia="zh-CN"/>
              </w:rPr>
              <w:t xml:space="preserve"> </w:t>
            </w:r>
            <w:r>
              <w:rPr>
                <w:rFonts w:hint="eastAsia"/>
                <w:sz w:val="20"/>
                <w:szCs w:val="22"/>
                <w:highlight w:val="none"/>
              </w:rPr>
              <w:t>组织按管理体系需求配置了充足的人员、设施、监视和测量设备等资源，并建立维持了电缆桥架及附件的生产及相关服务运行环境，可以维持管理体系的正常运行。</w:t>
            </w:r>
          </w:p>
          <w:p>
            <w:pPr>
              <w:tabs>
                <w:tab w:val="left" w:pos="540"/>
              </w:tabs>
              <w:spacing w:line="240" w:lineRule="exact"/>
              <w:rPr>
                <w:rFonts w:hint="default" w:ascii="宋体" w:hAnsi="宋体" w:eastAsia="宋体"/>
                <w:b/>
                <w:sz w:val="21"/>
                <w:szCs w:val="21"/>
                <w:highlight w:val="none"/>
                <w:lang w:val="en-US" w:eastAsia="zh-CN"/>
              </w:rPr>
            </w:pPr>
            <w:r>
              <w:rPr>
                <w:rFonts w:hint="eastAsia"/>
                <w:sz w:val="20"/>
                <w:szCs w:val="22"/>
                <w:highlight w:val="none"/>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920" w:type="dxa"/>
            <w:vMerge w:val="continue"/>
            <w:textDirection w:val="tbRlV"/>
            <w:vAlign w:val="center"/>
          </w:tcPr>
          <w:p>
            <w:pPr>
              <w:spacing w:line="240" w:lineRule="exact"/>
              <w:ind w:left="113" w:right="113"/>
              <w:jc w:val="center"/>
              <w:rPr>
                <w:b/>
                <w:szCs w:val="21"/>
              </w:rPr>
            </w:pPr>
          </w:p>
        </w:tc>
        <w:tc>
          <w:tcPr>
            <w:tcW w:w="8998" w:type="dxa"/>
            <w:vAlign w:val="top"/>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设备设施（包括信息系统）</w:t>
            </w:r>
          </w:p>
          <w:p>
            <w:pPr>
              <w:spacing w:line="240" w:lineRule="exact"/>
              <w:ind w:firstLine="400" w:firstLineChars="200"/>
              <w:rPr>
                <w:rFonts w:ascii="宋体" w:hAnsi="宋体"/>
                <w:b/>
                <w:sz w:val="21"/>
                <w:szCs w:val="21"/>
                <w:highlight w:val="none"/>
              </w:rPr>
            </w:pPr>
            <w:r>
              <w:rPr>
                <w:rFonts w:hint="eastAsia"/>
                <w:sz w:val="20"/>
                <w:szCs w:val="22"/>
                <w:highlight w:val="none"/>
              </w:rPr>
              <w:t>生产面积2500平米、办公面积500平方米左右，主要生产设备包括：乳胶漆高速搅拌机、乳胶漆低速搅拌机、高速搅拌机、真石漆搅拌机、干粉搅拌机、脉冲式除尘器等，可以满足涂料、胶粘剂、墙体保温材料（聚合聚苯板、水泥基发泡保温材料）的生产需要。特种设备：叉车。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920" w:type="dxa"/>
            <w:vMerge w:val="continue"/>
            <w:textDirection w:val="tbRlV"/>
            <w:vAlign w:val="center"/>
          </w:tcPr>
          <w:p>
            <w:pPr>
              <w:spacing w:line="240" w:lineRule="exact"/>
              <w:ind w:left="113" w:right="113"/>
              <w:jc w:val="center"/>
              <w:rPr>
                <w:b/>
                <w:szCs w:val="21"/>
              </w:rPr>
            </w:pPr>
          </w:p>
        </w:tc>
        <w:tc>
          <w:tcPr>
            <w:tcW w:w="8998" w:type="dxa"/>
            <w:vAlign w:val="top"/>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过程运行环境</w:t>
            </w:r>
          </w:p>
          <w:p>
            <w:pPr>
              <w:spacing w:line="240" w:lineRule="exact"/>
              <w:ind w:firstLine="400" w:firstLineChars="200"/>
              <w:rPr>
                <w:rFonts w:ascii="宋体" w:hAnsi="宋体"/>
                <w:b/>
                <w:sz w:val="21"/>
                <w:szCs w:val="21"/>
                <w:highlight w:val="none"/>
              </w:rPr>
            </w:pPr>
            <w:r>
              <w:rPr>
                <w:rFonts w:hint="eastAsia"/>
                <w:sz w:val="20"/>
                <w:szCs w:val="22"/>
                <w:highlight w:val="none"/>
              </w:rPr>
              <w:t>办公和作业所场设备布置合理，通道畅通，照明设施齐全，均配备了消防设施等设施。办公室明亮，作业场所光线较充足。每月由</w:t>
            </w:r>
            <w:r>
              <w:rPr>
                <w:rFonts w:hint="eastAsia"/>
                <w:sz w:val="20"/>
                <w:szCs w:val="22"/>
                <w:highlight w:val="none"/>
                <w:lang w:eastAsia="zh-CN"/>
              </w:rPr>
              <w:t>办公室</w:t>
            </w:r>
            <w:r>
              <w:rPr>
                <w:rFonts w:hint="eastAsia"/>
                <w:sz w:val="20"/>
                <w:szCs w:val="22"/>
                <w:highlight w:val="none"/>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920" w:type="dxa"/>
            <w:vMerge w:val="continue"/>
            <w:textDirection w:val="tbRlV"/>
            <w:vAlign w:val="center"/>
          </w:tcPr>
          <w:p>
            <w:pPr>
              <w:spacing w:line="240" w:lineRule="exact"/>
              <w:ind w:left="113" w:right="113"/>
              <w:jc w:val="center"/>
              <w:rPr>
                <w:b/>
                <w:szCs w:val="21"/>
              </w:rPr>
            </w:pPr>
          </w:p>
        </w:tc>
        <w:tc>
          <w:tcPr>
            <w:tcW w:w="8998" w:type="dxa"/>
            <w:vAlign w:val="top"/>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监视和测量资源</w:t>
            </w:r>
          </w:p>
          <w:p>
            <w:pPr>
              <w:spacing w:line="240" w:lineRule="exact"/>
              <w:ind w:firstLine="400" w:firstLineChars="200"/>
              <w:rPr>
                <w:rFonts w:ascii="宋体" w:hAnsi="宋体"/>
                <w:b/>
                <w:sz w:val="21"/>
                <w:szCs w:val="21"/>
                <w:highlight w:val="none"/>
              </w:rPr>
            </w:pPr>
            <w:r>
              <w:rPr>
                <w:rFonts w:hint="eastAsia"/>
                <w:sz w:val="20"/>
                <w:szCs w:val="22"/>
                <w:highlight w:val="none"/>
              </w:rPr>
              <w:t>检验部门均按策划的要求配置了相应的检测设备，均采用委外送检的方式。抽在用检具的检定或校准证书能提供在用检具的有效检定或校准证据。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920" w:type="dxa"/>
            <w:vMerge w:val="continue"/>
            <w:textDirection w:val="tbRlV"/>
            <w:vAlign w:val="center"/>
          </w:tcPr>
          <w:p>
            <w:pPr>
              <w:spacing w:line="240" w:lineRule="exact"/>
              <w:ind w:left="113" w:right="113"/>
              <w:jc w:val="center"/>
              <w:rPr>
                <w:b/>
                <w:szCs w:val="21"/>
              </w:rPr>
            </w:pPr>
          </w:p>
        </w:tc>
        <w:tc>
          <w:tcPr>
            <w:tcW w:w="89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tabs>
                <w:tab w:val="left" w:pos="540"/>
              </w:tabs>
              <w:spacing w:line="240" w:lineRule="exact"/>
              <w:ind w:firstLine="400" w:firstLineChars="200"/>
              <w:rPr>
                <w:rFonts w:hint="eastAsia"/>
                <w:sz w:val="20"/>
                <w:szCs w:val="22"/>
                <w:highlight w:val="none"/>
              </w:rPr>
            </w:pPr>
            <w:r>
              <w:rPr>
                <w:rFonts w:hint="eastAsia"/>
                <w:sz w:val="20"/>
                <w:szCs w:val="22"/>
                <w:highlight w:val="none"/>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tabs>
                <w:tab w:val="left" w:pos="540"/>
              </w:tabs>
              <w:spacing w:line="240" w:lineRule="exact"/>
              <w:ind w:firstLine="400" w:firstLineChars="200"/>
              <w:rPr>
                <w:rFonts w:ascii="宋体" w:hAnsi="宋体"/>
                <w:b/>
                <w:sz w:val="21"/>
                <w:szCs w:val="21"/>
              </w:rPr>
            </w:pPr>
            <w:r>
              <w:rPr>
                <w:rFonts w:hint="eastAsia"/>
                <w:sz w:val="20"/>
                <w:szCs w:val="22"/>
                <w:highlight w:val="none"/>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20" w:type="dxa"/>
            <w:vMerge w:val="continue"/>
            <w:textDirection w:val="tbRlV"/>
            <w:vAlign w:val="center"/>
          </w:tcPr>
          <w:p>
            <w:pPr>
              <w:spacing w:line="240" w:lineRule="exact"/>
              <w:ind w:left="113" w:right="113"/>
              <w:jc w:val="center"/>
              <w:rPr>
                <w:b/>
                <w:szCs w:val="21"/>
              </w:rPr>
            </w:pPr>
          </w:p>
        </w:tc>
        <w:tc>
          <w:tcPr>
            <w:tcW w:w="89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b/>
                <w:color w:val="000000" w:themeColor="text1"/>
                <w:sz w:val="20"/>
                <w:szCs w:val="20"/>
              </w:rPr>
            </w:pPr>
          </w:p>
          <w:p>
            <w:pPr>
              <w:spacing w:line="240" w:lineRule="exact"/>
              <w:rPr>
                <w:rFonts w:ascii="宋体" w:hAnsi="宋体"/>
                <w:b/>
                <w:sz w:val="21"/>
                <w:szCs w:val="21"/>
              </w:rPr>
            </w:pPr>
            <w:r>
              <w:rPr>
                <w:rFonts w:hint="eastAsia" w:ascii="宋体" w:hAnsi="宋体"/>
                <w:sz w:val="20"/>
                <w:szCs w:val="20"/>
                <w:lang w:val="en-US" w:eastAsia="zh-CN"/>
              </w:rPr>
              <w:t>布袋除尘器、活性炭吸附装置、</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920" w:type="dxa"/>
            <w:vMerge w:val="continue"/>
            <w:textDirection w:val="tbRlV"/>
            <w:vAlign w:val="center"/>
          </w:tcPr>
          <w:p>
            <w:pPr>
              <w:spacing w:line="240" w:lineRule="exact"/>
              <w:ind w:left="113" w:right="113"/>
              <w:jc w:val="center"/>
              <w:rPr>
                <w:b/>
                <w:szCs w:val="21"/>
              </w:rPr>
            </w:pPr>
          </w:p>
        </w:tc>
        <w:tc>
          <w:tcPr>
            <w:tcW w:w="89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firstLine="400" w:firstLineChars="200"/>
              <w:rPr>
                <w:rFonts w:ascii="宋体" w:hAnsi="宋体"/>
                <w:b/>
                <w:sz w:val="21"/>
                <w:szCs w:val="21"/>
              </w:rPr>
            </w:pPr>
            <w:r>
              <w:rPr>
                <w:rFonts w:hint="eastAsia"/>
                <w:sz w:val="20"/>
                <w:szCs w:val="22"/>
                <w:highlight w:val="none"/>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9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89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p>
          <w:p>
            <w:pPr>
              <w:spacing w:line="240" w:lineRule="exact"/>
              <w:rPr>
                <w:rFonts w:ascii="宋体" w:hAnsi="宋体"/>
                <w:b/>
                <w:sz w:val="2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8" w:hRule="atLeast"/>
          <w:jc w:val="center"/>
        </w:trPr>
        <w:tc>
          <w:tcPr>
            <w:tcW w:w="920" w:type="dxa"/>
            <w:vMerge w:val="continue"/>
            <w:vAlign w:val="center"/>
          </w:tcPr>
          <w:p>
            <w:pPr>
              <w:spacing w:line="240" w:lineRule="exact"/>
              <w:jc w:val="center"/>
              <w:rPr>
                <w:b/>
                <w:szCs w:val="21"/>
              </w:rPr>
            </w:pPr>
          </w:p>
        </w:tc>
        <w:tc>
          <w:tcPr>
            <w:tcW w:w="89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00" w:firstLineChars="100"/>
              <w:rPr>
                <w:rFonts w:ascii="宋体" w:hAnsi="宋体"/>
                <w:b/>
                <w:sz w:val="21"/>
                <w:szCs w:val="21"/>
              </w:rPr>
            </w:pPr>
            <w:r>
              <w:rPr>
                <w:rFonts w:hint="eastAsia"/>
                <w:sz w:val="20"/>
                <w:szCs w:val="22"/>
                <w:highlight w:val="none"/>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920" w:type="dxa"/>
            <w:vMerge w:val="continue"/>
            <w:vAlign w:val="center"/>
          </w:tcPr>
          <w:p>
            <w:pPr>
              <w:spacing w:line="240" w:lineRule="exact"/>
              <w:jc w:val="center"/>
              <w:rPr>
                <w:b/>
                <w:szCs w:val="21"/>
              </w:rPr>
            </w:pPr>
          </w:p>
        </w:tc>
        <w:tc>
          <w:tcPr>
            <w:tcW w:w="89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00" w:firstLineChars="100"/>
              <w:rPr>
                <w:rFonts w:hint="eastAsia"/>
                <w:sz w:val="20"/>
                <w:szCs w:val="22"/>
                <w:highlight w:val="none"/>
              </w:rPr>
            </w:pPr>
            <w:r>
              <w:rPr>
                <w:rFonts w:hint="eastAsia"/>
                <w:sz w:val="20"/>
                <w:szCs w:val="22"/>
                <w:highlight w:val="none"/>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ascii="宋体" w:hAnsi="宋体"/>
                <w:b/>
                <w:sz w:val="21"/>
                <w:szCs w:val="21"/>
              </w:rPr>
            </w:pPr>
            <w:r>
              <w:rPr>
                <w:rFonts w:hint="eastAsia"/>
                <w:b/>
                <w:color w:val="000000" w:themeColor="text1"/>
                <w:sz w:val="20"/>
                <w:szCs w:val="20"/>
              </w:rPr>
              <w:t>(应说明相关证据)：</w:t>
            </w:r>
            <w:r>
              <w:rPr>
                <w:rFonts w:hint="eastAsia"/>
                <w:color w:val="000000" w:themeColor="text1"/>
                <w:sz w:val="20"/>
                <w:szCs w:val="20"/>
              </w:rPr>
              <w:t>验收规范、验收报告等。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jc w:val="center"/>
        </w:trPr>
        <w:tc>
          <w:tcPr>
            <w:tcW w:w="920" w:type="dxa"/>
            <w:vMerge w:val="continue"/>
            <w:vAlign w:val="center"/>
          </w:tcPr>
          <w:p>
            <w:pPr>
              <w:spacing w:line="240" w:lineRule="exact"/>
              <w:jc w:val="center"/>
              <w:rPr>
                <w:b/>
                <w:szCs w:val="21"/>
              </w:rPr>
            </w:pPr>
          </w:p>
        </w:tc>
        <w:tc>
          <w:tcPr>
            <w:tcW w:w="8998" w:type="dxa"/>
            <w:vAlign w:val="top"/>
          </w:tcPr>
          <w:p>
            <w:pPr>
              <w:spacing w:line="240" w:lineRule="exact"/>
              <w:rPr>
                <w:b/>
                <w:color w:val="000000" w:themeColor="text1"/>
                <w:sz w:val="20"/>
                <w:szCs w:val="20"/>
                <w:highlight w:val="none"/>
              </w:rPr>
            </w:pPr>
            <w:r>
              <w:rPr>
                <w:rFonts w:hint="eastAsia"/>
                <w:b/>
                <w:color w:val="000000" w:themeColor="text1"/>
                <w:sz w:val="20"/>
                <w:szCs w:val="20"/>
                <w:highlight w:val="none"/>
              </w:rPr>
              <w:t>5 .QMS国家/地方技术监督部门监测（检测、委托检测、定期监测、型式试验等）、抽查结果</w:t>
            </w:r>
          </w:p>
          <w:p>
            <w:pPr>
              <w:spacing w:line="300" w:lineRule="exact"/>
              <w:ind w:firstLine="196" w:firstLineChars="98"/>
              <w:rPr>
                <w:rFonts w:hint="eastAsia"/>
                <w:sz w:val="20"/>
                <w:szCs w:val="22"/>
                <w:highlight w:val="none"/>
                <w:lang w:val="en-US" w:eastAsia="zh-CN"/>
              </w:rPr>
            </w:pPr>
            <w:r>
              <w:rPr>
                <w:rFonts w:hint="eastAsia"/>
                <w:sz w:val="20"/>
                <w:szCs w:val="22"/>
                <w:highlight w:val="none"/>
                <w:lang w:val="en-US" w:eastAsia="zh-CN"/>
              </w:rPr>
              <w:t>提供成都市郫都区市场和质量监督管理局的产品监督抽查、以及企业送往第三方检验机构检测、检测结果合格</w:t>
            </w:r>
          </w:p>
          <w:p>
            <w:pPr>
              <w:spacing w:line="300" w:lineRule="exact"/>
              <w:ind w:firstLine="197" w:firstLineChars="98"/>
              <w:rPr>
                <w:rFonts w:hint="default" w:ascii="宋体" w:hAnsi="宋体" w:eastAsia="宋体"/>
                <w:b/>
                <w:sz w:val="21"/>
                <w:szCs w:val="21"/>
                <w:highlight w:val="none"/>
                <w:lang w:val="en-US" w:eastAsia="zh-CN"/>
              </w:rPr>
            </w:pPr>
            <w:r>
              <w:rPr>
                <w:rFonts w:hint="eastAsia"/>
                <w:b/>
                <w:color w:val="000000" w:themeColor="text1"/>
                <w:sz w:val="20"/>
                <w:szCs w:val="20"/>
                <w:highlight w:val="none"/>
              </w:rPr>
              <w:t>（附相关证据）：</w:t>
            </w:r>
            <w:r>
              <w:rPr>
                <w:rFonts w:hint="eastAsia"/>
                <w:b/>
                <w:color w:val="000000" w:themeColor="text1"/>
                <w:sz w:val="20"/>
                <w:szCs w:val="20"/>
                <w:highlight w:val="none"/>
                <w:lang w:val="en-US" w:eastAsia="zh-CN"/>
              </w:rPr>
              <w:t>见附件检验报告。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jc w:val="center"/>
        </w:trPr>
        <w:tc>
          <w:tcPr>
            <w:tcW w:w="920" w:type="dxa"/>
            <w:vMerge w:val="continue"/>
            <w:vAlign w:val="center"/>
          </w:tcPr>
          <w:p>
            <w:pPr>
              <w:spacing w:line="240" w:lineRule="exact"/>
              <w:jc w:val="center"/>
              <w:rPr>
                <w:b/>
                <w:szCs w:val="21"/>
              </w:rPr>
            </w:pPr>
          </w:p>
        </w:tc>
        <w:tc>
          <w:tcPr>
            <w:tcW w:w="8998" w:type="dxa"/>
            <w:vAlign w:val="top"/>
          </w:tcPr>
          <w:p>
            <w:pPr>
              <w:spacing w:line="240" w:lineRule="exact"/>
              <w:rPr>
                <w:b/>
                <w:color w:val="000000" w:themeColor="text1"/>
                <w:spacing w:val="-8"/>
                <w:sz w:val="20"/>
                <w:szCs w:val="20"/>
                <w:highlight w:val="none"/>
              </w:rPr>
            </w:pPr>
            <w:r>
              <w:rPr>
                <w:rFonts w:hint="eastAsia"/>
                <w:b/>
                <w:color w:val="000000" w:themeColor="text1"/>
                <w:sz w:val="20"/>
                <w:szCs w:val="20"/>
                <w:highlight w:val="none"/>
              </w:rPr>
              <w:t xml:space="preserve">6. </w:t>
            </w:r>
            <w:r>
              <w:rPr>
                <w:rFonts w:hint="eastAsia"/>
                <w:b/>
                <w:color w:val="000000" w:themeColor="text1"/>
                <w:spacing w:val="-8"/>
                <w:sz w:val="20"/>
                <w:szCs w:val="20"/>
                <w:highlight w:val="none"/>
              </w:rPr>
              <w:t>不合格品/项的识别、控制;</w:t>
            </w:r>
          </w:p>
          <w:p>
            <w:pPr>
              <w:spacing w:line="240" w:lineRule="exact"/>
              <w:ind w:firstLine="400" w:firstLineChars="200"/>
              <w:rPr>
                <w:rFonts w:ascii="宋体" w:hAnsi="宋体"/>
                <w:b/>
                <w:sz w:val="21"/>
                <w:szCs w:val="21"/>
                <w:highlight w:val="none"/>
              </w:rPr>
            </w:pPr>
            <w:r>
              <w:rPr>
                <w:rFonts w:hint="eastAsia"/>
                <w:sz w:val="20"/>
                <w:szCs w:val="22"/>
                <w:highlight w:val="none"/>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920" w:type="dxa"/>
            <w:vMerge w:val="continue"/>
            <w:vAlign w:val="center"/>
          </w:tcPr>
          <w:p>
            <w:pPr>
              <w:spacing w:line="240" w:lineRule="exact"/>
              <w:jc w:val="center"/>
              <w:rPr>
                <w:b/>
                <w:szCs w:val="21"/>
              </w:rPr>
            </w:pPr>
          </w:p>
        </w:tc>
        <w:tc>
          <w:tcPr>
            <w:tcW w:w="89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ind w:firstLine="400" w:firstLineChars="200"/>
              <w:rPr>
                <w:rFonts w:hint="eastAsia"/>
                <w:sz w:val="20"/>
                <w:szCs w:val="22"/>
                <w:highlight w:val="none"/>
              </w:rPr>
            </w:pPr>
            <w:r>
              <w:rPr>
                <w:rFonts w:hint="eastAsia"/>
                <w:sz w:val="20"/>
                <w:szCs w:val="22"/>
                <w:highlight w:val="none"/>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ind w:firstLine="400" w:firstLineChars="200"/>
              <w:rPr>
                <w:rFonts w:ascii="宋体" w:hAnsi="宋体"/>
                <w:b/>
                <w:sz w:val="21"/>
                <w:szCs w:val="21"/>
              </w:rPr>
            </w:pPr>
            <w:r>
              <w:rPr>
                <w:rFonts w:hint="eastAsia"/>
                <w:sz w:val="20"/>
                <w:szCs w:val="22"/>
                <w:highlight w:val="none"/>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920" w:type="dxa"/>
            <w:vMerge w:val="continue"/>
            <w:vAlign w:val="center"/>
          </w:tcPr>
          <w:p>
            <w:pPr>
              <w:spacing w:line="240" w:lineRule="exact"/>
              <w:jc w:val="center"/>
              <w:rPr>
                <w:b/>
                <w:szCs w:val="21"/>
              </w:rPr>
            </w:pPr>
          </w:p>
        </w:tc>
        <w:tc>
          <w:tcPr>
            <w:tcW w:w="89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ind w:firstLine="400" w:firstLineChars="200"/>
              <w:rPr>
                <w:rFonts w:hint="eastAsia"/>
                <w:sz w:val="20"/>
                <w:szCs w:val="22"/>
                <w:highlight w:val="none"/>
              </w:rPr>
            </w:pPr>
            <w:r>
              <w:rPr>
                <w:rFonts w:hint="eastAsia"/>
                <w:sz w:val="20"/>
                <w:szCs w:val="22"/>
                <w:highlight w:val="none"/>
              </w:rPr>
              <w:t>组织重要环境因素为1）潜在火灾；2）固废的排放；3）废气、粉尘的排放；4）噪声的排放；5）废水的排放，需要应对的风险和机遇相关的过程为生产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20" w:type="dxa"/>
            <w:vMerge w:val="continue"/>
            <w:vAlign w:val="center"/>
          </w:tcPr>
          <w:p>
            <w:pPr>
              <w:spacing w:line="240" w:lineRule="exact"/>
              <w:jc w:val="center"/>
              <w:rPr>
                <w:b/>
                <w:szCs w:val="21"/>
              </w:rPr>
            </w:pPr>
          </w:p>
        </w:tc>
        <w:tc>
          <w:tcPr>
            <w:tcW w:w="8998" w:type="dxa"/>
          </w:tcPr>
          <w:p>
            <w:pPr>
              <w:numPr>
                <w:ilvl w:val="0"/>
                <w:numId w:val="3"/>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920" w:type="dxa"/>
            <w:vMerge w:val="continue"/>
            <w:vAlign w:val="center"/>
          </w:tcPr>
          <w:p>
            <w:pPr>
              <w:spacing w:line="240" w:lineRule="exact"/>
              <w:jc w:val="center"/>
              <w:rPr>
                <w:b/>
                <w:szCs w:val="21"/>
              </w:rPr>
            </w:pPr>
          </w:p>
        </w:tc>
        <w:tc>
          <w:tcPr>
            <w:tcW w:w="89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ind w:firstLine="400" w:firstLineChars="200"/>
              <w:rPr>
                <w:rFonts w:ascii="宋体" w:hAnsi="宋体"/>
                <w:b/>
                <w:sz w:val="21"/>
                <w:szCs w:val="21"/>
              </w:rPr>
            </w:pPr>
            <w:r>
              <w:rPr>
                <w:rFonts w:hint="eastAsia"/>
                <w:sz w:val="20"/>
                <w:szCs w:val="20"/>
                <w:highlight w:val="none"/>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20" w:type="dxa"/>
            <w:vMerge w:val="continue"/>
            <w:vAlign w:val="center"/>
          </w:tcPr>
          <w:p>
            <w:pPr>
              <w:spacing w:line="240" w:lineRule="exact"/>
              <w:jc w:val="center"/>
              <w:rPr>
                <w:b/>
                <w:szCs w:val="21"/>
              </w:rPr>
            </w:pPr>
          </w:p>
        </w:tc>
        <w:tc>
          <w:tcPr>
            <w:tcW w:w="89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default" w:ascii="宋体" w:hAnsi="宋体" w:eastAsia="宋体"/>
                <w:b/>
                <w:sz w:val="21"/>
                <w:szCs w:val="21"/>
                <w:lang w:val="en-US" w:eastAsia="zh-CN"/>
              </w:rPr>
            </w:pPr>
            <w:r>
              <w:rPr>
                <w:rFonts w:hint="eastAsia" w:ascii="宋体" w:hAnsi="宋体"/>
                <w:b/>
                <w:sz w:val="21"/>
                <w:szCs w:val="21"/>
                <w:lang w:val="en-US" w:eastAsia="zh-CN"/>
              </w:rPr>
              <w:t>3.5T叉车1台，现场提供检测报告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20" w:type="dxa"/>
            <w:vMerge w:val="continue"/>
            <w:vAlign w:val="center"/>
          </w:tcPr>
          <w:p>
            <w:pPr>
              <w:spacing w:line="240" w:lineRule="exact"/>
              <w:jc w:val="center"/>
              <w:rPr>
                <w:b/>
                <w:szCs w:val="21"/>
              </w:rPr>
            </w:pPr>
          </w:p>
        </w:tc>
        <w:tc>
          <w:tcPr>
            <w:tcW w:w="89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sz w:val="20"/>
                <w:szCs w:val="20"/>
                <w:highlight w:val="none"/>
              </w:rPr>
              <w:t>危险化学品：无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9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8998" w:type="dxa"/>
          </w:tcPr>
          <w:p>
            <w:pPr>
              <w:spacing w:line="240" w:lineRule="exact"/>
              <w:ind w:left="105" w:hanging="105" w:hangingChars="50"/>
              <w:rPr>
                <w:rFonts w:hint="eastAsia"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400" w:firstLineChars="200"/>
              <w:rPr>
                <w:rFonts w:ascii="宋体" w:hAnsi="宋体"/>
                <w:b/>
                <w:sz w:val="21"/>
                <w:szCs w:val="21"/>
              </w:rPr>
            </w:pPr>
            <w:r>
              <w:rPr>
                <w:rFonts w:hint="eastAsia"/>
                <w:sz w:val="20"/>
                <w:szCs w:val="20"/>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sz w:val="20"/>
                <w:szCs w:val="20"/>
                <w:highlight w:val="none"/>
                <w:lang w:val="en-US" w:eastAsia="zh-CN"/>
              </w:rPr>
              <w:t>20</w:t>
            </w:r>
            <w:r>
              <w:rPr>
                <w:rFonts w:hint="eastAsia"/>
                <w:sz w:val="20"/>
                <w:szCs w:val="20"/>
                <w:highlight w:val="none"/>
              </w:rPr>
              <w:t>年</w:t>
            </w:r>
            <w:r>
              <w:rPr>
                <w:rFonts w:hint="eastAsia"/>
                <w:sz w:val="20"/>
                <w:szCs w:val="20"/>
                <w:highlight w:val="none"/>
                <w:lang w:val="en-US" w:eastAsia="zh-CN"/>
              </w:rPr>
              <w:t>4</w:t>
            </w:r>
            <w:r>
              <w:rPr>
                <w:rFonts w:hint="eastAsia"/>
                <w:sz w:val="20"/>
                <w:szCs w:val="20"/>
                <w:highlight w:val="none"/>
              </w:rPr>
              <w:t>-</w:t>
            </w:r>
            <w:r>
              <w:rPr>
                <w:rFonts w:hint="eastAsia"/>
                <w:sz w:val="20"/>
                <w:szCs w:val="20"/>
                <w:highlight w:val="none"/>
                <w:lang w:val="en-US" w:eastAsia="zh-CN"/>
              </w:rPr>
              <w:t>6</w:t>
            </w:r>
            <w:r>
              <w:rPr>
                <w:rFonts w:hint="eastAsia"/>
                <w:sz w:val="20"/>
                <w:szCs w:val="20"/>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jc w:val="center"/>
        </w:trPr>
        <w:tc>
          <w:tcPr>
            <w:tcW w:w="920" w:type="dxa"/>
            <w:vMerge w:val="continue"/>
            <w:textDirection w:val="tbRlV"/>
            <w:vAlign w:val="center"/>
          </w:tcPr>
          <w:p>
            <w:pPr>
              <w:spacing w:line="240" w:lineRule="exact"/>
              <w:ind w:left="113" w:right="113"/>
              <w:jc w:val="center"/>
              <w:rPr>
                <w:b/>
                <w:szCs w:val="21"/>
              </w:rPr>
            </w:pPr>
          </w:p>
        </w:tc>
        <w:tc>
          <w:tcPr>
            <w:tcW w:w="8998" w:type="dxa"/>
          </w:tcPr>
          <w:p>
            <w:pPr>
              <w:numPr>
                <w:ilvl w:val="0"/>
                <w:numId w:val="4"/>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400" w:firstLineChars="200"/>
              <w:rPr>
                <w:rFonts w:hint="eastAsia" w:ascii="宋体" w:hAnsi="宋体"/>
                <w:b/>
                <w:sz w:val="21"/>
                <w:szCs w:val="21"/>
              </w:rPr>
            </w:pPr>
            <w:r>
              <w:rPr>
                <w:rFonts w:hint="eastAsia"/>
                <w:sz w:val="20"/>
                <w:szCs w:val="20"/>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sz w:val="20"/>
                <w:szCs w:val="20"/>
                <w:highlight w:val="none"/>
                <w:lang w:val="en-US" w:eastAsia="zh-CN"/>
              </w:rPr>
              <w:t>20</w:t>
            </w:r>
            <w:r>
              <w:rPr>
                <w:rFonts w:hint="eastAsia"/>
                <w:sz w:val="20"/>
                <w:szCs w:val="20"/>
                <w:highlight w:val="none"/>
              </w:rPr>
              <w:t>年4月实施，满意度评价98分，总体实现了顾客满意度的质量目标要求。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jc w:val="center"/>
        </w:trPr>
        <w:tc>
          <w:tcPr>
            <w:tcW w:w="920" w:type="dxa"/>
            <w:vMerge w:val="continue"/>
            <w:textDirection w:val="tbRlV"/>
            <w:vAlign w:val="center"/>
          </w:tcPr>
          <w:p>
            <w:pPr>
              <w:spacing w:line="240" w:lineRule="exact"/>
              <w:ind w:left="113" w:right="113"/>
              <w:jc w:val="center"/>
              <w:rPr>
                <w:b/>
                <w:szCs w:val="21"/>
              </w:rPr>
            </w:pPr>
          </w:p>
        </w:tc>
        <w:tc>
          <w:tcPr>
            <w:tcW w:w="89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numPr>
                <w:ilvl w:val="0"/>
                <w:numId w:val="0"/>
              </w:numPr>
              <w:spacing w:line="240" w:lineRule="exact"/>
              <w:ind w:leftChars="-50" w:firstLine="400" w:firstLineChars="200"/>
              <w:rPr>
                <w:rFonts w:ascii="宋体" w:hAnsi="宋体"/>
                <w:b/>
                <w:sz w:val="21"/>
                <w:szCs w:val="21"/>
              </w:rPr>
            </w:pPr>
            <w:r>
              <w:rPr>
                <w:rFonts w:hint="eastAsia"/>
                <w:sz w:val="20"/>
                <w:szCs w:val="20"/>
                <w:highlight w:val="none"/>
              </w:rPr>
              <w:t>建立有《内部审核控制程序》，规定了内审频次一年一次，内审时间：20</w:t>
            </w:r>
            <w:r>
              <w:rPr>
                <w:rFonts w:hint="eastAsia"/>
                <w:sz w:val="20"/>
                <w:szCs w:val="20"/>
                <w:highlight w:val="none"/>
                <w:lang w:val="en-US" w:eastAsia="zh-CN"/>
              </w:rPr>
              <w:t>20</w:t>
            </w:r>
            <w:r>
              <w:rPr>
                <w:rFonts w:hint="eastAsia"/>
                <w:sz w:val="20"/>
                <w:szCs w:val="20"/>
                <w:highlight w:val="none"/>
              </w:rPr>
              <w:t>年</w:t>
            </w:r>
            <w:r>
              <w:rPr>
                <w:rFonts w:hint="eastAsia"/>
                <w:sz w:val="20"/>
                <w:szCs w:val="20"/>
                <w:highlight w:val="none"/>
                <w:lang w:val="en-US" w:eastAsia="zh-CN"/>
              </w:rPr>
              <w:t>5</w:t>
            </w:r>
            <w:r>
              <w:rPr>
                <w:rFonts w:hint="eastAsia"/>
                <w:sz w:val="20"/>
                <w:szCs w:val="20"/>
                <w:highlight w:val="none"/>
              </w:rPr>
              <w:t>月</w:t>
            </w:r>
            <w:r>
              <w:rPr>
                <w:rFonts w:hint="eastAsia"/>
                <w:sz w:val="20"/>
                <w:szCs w:val="20"/>
                <w:highlight w:val="none"/>
                <w:lang w:val="en-US" w:eastAsia="zh-CN"/>
              </w:rPr>
              <w:t>10</w:t>
            </w:r>
            <w:r>
              <w:rPr>
                <w:rFonts w:hint="eastAsia"/>
                <w:sz w:val="20"/>
                <w:szCs w:val="20"/>
                <w:highlight w:val="none"/>
              </w:rPr>
              <w:t>日，拟定了审核实施表，明确了内审范围，内审人员经培训合格上岗，能力满足要求，未出现审核本部门情况，内审不符合项</w:t>
            </w:r>
            <w:r>
              <w:rPr>
                <w:rFonts w:hint="eastAsia"/>
                <w:sz w:val="20"/>
                <w:szCs w:val="20"/>
                <w:highlight w:val="none"/>
                <w:lang w:val="en-US" w:eastAsia="zh-CN"/>
              </w:rPr>
              <w:t>1</w:t>
            </w:r>
            <w:r>
              <w:rPr>
                <w:rFonts w:hint="eastAsia"/>
                <w:sz w:val="20"/>
                <w:szCs w:val="20"/>
                <w:highlight w:val="none"/>
              </w:rPr>
              <w:t>项，涉及涉及市场部</w:t>
            </w:r>
            <w:r>
              <w:rPr>
                <w:rFonts w:hint="eastAsia"/>
                <w:sz w:val="20"/>
                <w:szCs w:val="20"/>
                <w:highlight w:val="none"/>
                <w:lang w:val="en-US" w:eastAsia="zh-CN"/>
              </w:rPr>
              <w:t>9.1.2</w:t>
            </w:r>
            <w:r>
              <w:rPr>
                <w:rFonts w:hint="eastAsia"/>
                <w:sz w:val="20"/>
                <w:szCs w:val="20"/>
                <w:highlight w:val="none"/>
              </w:rPr>
              <w:t>条款</w:t>
            </w:r>
            <w:r>
              <w:rPr>
                <w:rFonts w:hint="eastAsia"/>
                <w:sz w:val="20"/>
                <w:szCs w:val="20"/>
                <w:highlight w:val="none"/>
                <w:lang w:eastAsia="zh-CN"/>
              </w:rPr>
              <w:t>没有对顾客满意度进行分析</w:t>
            </w:r>
            <w:r>
              <w:rPr>
                <w:rFonts w:hint="eastAsia"/>
                <w:sz w:val="20"/>
                <w:szCs w:val="20"/>
                <w:highlight w:val="none"/>
              </w:rPr>
              <w:t>；针对该不符合项，已及时采取纠正措施后，经内审员验证关闭。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920" w:type="dxa"/>
            <w:vMerge w:val="continue"/>
            <w:textDirection w:val="tbRlV"/>
            <w:vAlign w:val="center"/>
          </w:tcPr>
          <w:p>
            <w:pPr>
              <w:spacing w:line="240" w:lineRule="exact"/>
              <w:ind w:left="113" w:right="113"/>
              <w:jc w:val="center"/>
              <w:rPr>
                <w:b/>
                <w:szCs w:val="21"/>
              </w:rPr>
            </w:pPr>
          </w:p>
        </w:tc>
        <w:tc>
          <w:tcPr>
            <w:tcW w:w="8998" w:type="dxa"/>
          </w:tcPr>
          <w:p>
            <w:pPr>
              <w:spacing w:line="240" w:lineRule="exact"/>
              <w:rPr>
                <w:rFonts w:ascii="宋体" w:hAnsi="宋体"/>
                <w:b/>
                <w:sz w:val="21"/>
                <w:szCs w:val="21"/>
                <w:highlight w:val="none"/>
              </w:rPr>
            </w:pPr>
            <w:r>
              <w:rPr>
                <w:rFonts w:ascii="宋体" w:hAnsi="宋体"/>
                <w:b/>
                <w:sz w:val="21"/>
                <w:szCs w:val="21"/>
                <w:highlight w:val="none"/>
              </w:rPr>
              <w:t>4.</w:t>
            </w:r>
            <w:r>
              <w:rPr>
                <w:rFonts w:hint="eastAsia" w:ascii="宋体" w:hAnsi="宋体"/>
                <w:b/>
                <w:sz w:val="21"/>
                <w:szCs w:val="21"/>
                <w:highlight w:val="none"/>
              </w:rPr>
              <w:t>管理评审（管理评审体系变更需求，纠正和预防措施、体系有效性等）</w:t>
            </w:r>
          </w:p>
          <w:p>
            <w:pPr>
              <w:spacing w:line="240" w:lineRule="exact"/>
              <w:ind w:firstLine="400" w:firstLineChars="200"/>
              <w:rPr>
                <w:rFonts w:ascii="宋体" w:hAnsi="宋体"/>
                <w:b/>
                <w:sz w:val="21"/>
                <w:szCs w:val="21"/>
                <w:highlight w:val="none"/>
              </w:rPr>
            </w:pPr>
            <w:r>
              <w:rPr>
                <w:rFonts w:hint="eastAsia"/>
                <w:sz w:val="20"/>
                <w:szCs w:val="20"/>
                <w:highlight w:val="none"/>
              </w:rPr>
              <w:t>管理评审频次为一年一次、本次管理评审于20</w:t>
            </w:r>
            <w:r>
              <w:rPr>
                <w:rFonts w:hint="eastAsia"/>
                <w:sz w:val="20"/>
                <w:szCs w:val="20"/>
                <w:highlight w:val="none"/>
                <w:lang w:val="en-US" w:eastAsia="zh-CN"/>
              </w:rPr>
              <w:t>20</w:t>
            </w:r>
            <w:r>
              <w:rPr>
                <w:rFonts w:hint="eastAsia"/>
                <w:sz w:val="20"/>
                <w:szCs w:val="20"/>
                <w:highlight w:val="none"/>
              </w:rPr>
              <w:t>年</w:t>
            </w:r>
            <w:r>
              <w:rPr>
                <w:rFonts w:hint="eastAsia"/>
                <w:sz w:val="20"/>
                <w:szCs w:val="20"/>
                <w:highlight w:val="none"/>
                <w:lang w:val="en-US" w:eastAsia="zh-CN"/>
              </w:rPr>
              <w:t>6</w:t>
            </w:r>
            <w:r>
              <w:rPr>
                <w:rFonts w:hint="eastAsia"/>
                <w:sz w:val="20"/>
                <w:szCs w:val="20"/>
                <w:highlight w:val="none"/>
              </w:rPr>
              <w:t>月</w:t>
            </w:r>
            <w:r>
              <w:rPr>
                <w:rFonts w:hint="eastAsia"/>
                <w:sz w:val="20"/>
                <w:szCs w:val="20"/>
                <w:highlight w:val="none"/>
                <w:lang w:val="en-US" w:eastAsia="zh-CN"/>
              </w:rPr>
              <w:t>9</w:t>
            </w:r>
            <w:r>
              <w:rPr>
                <w:rFonts w:hint="eastAsia"/>
                <w:sz w:val="20"/>
                <w:szCs w:val="20"/>
                <w:highlight w:val="none"/>
              </w:rPr>
              <w:t>日由总经理主持完成、提供主要输入材料有各部门总结，输入信息基本充分和满足要求。输出见“管理评审报告”,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920" w:type="dxa"/>
            <w:vMerge w:val="continue"/>
            <w:vAlign w:val="center"/>
          </w:tcPr>
          <w:p>
            <w:pPr>
              <w:spacing w:line="240" w:lineRule="exact"/>
              <w:jc w:val="center"/>
              <w:rPr>
                <w:b/>
                <w:sz w:val="20"/>
              </w:rPr>
            </w:pPr>
          </w:p>
        </w:tc>
        <w:tc>
          <w:tcPr>
            <w:tcW w:w="8998" w:type="dxa"/>
          </w:tcPr>
          <w:p>
            <w:pPr>
              <w:numPr>
                <w:ilvl w:val="0"/>
                <w:numId w:val="5"/>
              </w:numPr>
              <w:spacing w:line="240" w:lineRule="exact"/>
              <w:rPr>
                <w:rFonts w:hint="eastAsia" w:ascii="宋体" w:hAnsi="宋体"/>
                <w:b/>
                <w:sz w:val="21"/>
                <w:szCs w:val="21"/>
                <w:highlight w:val="none"/>
              </w:rPr>
            </w:pPr>
            <w:r>
              <w:rPr>
                <w:rFonts w:ascii="宋体" w:hAnsi="宋体"/>
                <w:b/>
                <w:sz w:val="21"/>
                <w:szCs w:val="21"/>
                <w:highlight w:val="none"/>
              </w:rPr>
              <w:t xml:space="preserve"> EMS</w:t>
            </w:r>
            <w:r>
              <w:rPr>
                <w:rFonts w:hint="eastAsia" w:ascii="宋体" w:hAnsi="宋体"/>
                <w:b/>
                <w:sz w:val="21"/>
                <w:szCs w:val="21"/>
                <w:highlight w:val="none"/>
              </w:rPr>
              <w:t>是否按规定对主要污染物（污水、废气、噪声、废渣等）及排放实施了例行的监视或测量，结果是否满足相关要求？</w:t>
            </w:r>
          </w:p>
          <w:p>
            <w:pPr>
              <w:numPr>
                <w:ilvl w:val="0"/>
                <w:numId w:val="0"/>
              </w:numPr>
              <w:spacing w:line="240" w:lineRule="exact"/>
              <w:rPr>
                <w:rFonts w:hint="default" w:ascii="宋体" w:hAnsi="宋体" w:eastAsia="宋体"/>
                <w:b/>
                <w:sz w:val="21"/>
                <w:szCs w:val="21"/>
                <w:highlight w:val="none"/>
                <w:lang w:val="en-US" w:eastAsia="zh-CN"/>
              </w:rPr>
            </w:pPr>
            <w:r>
              <w:rPr>
                <w:rFonts w:hint="eastAsia" w:ascii="宋体" w:hAnsi="宋体"/>
                <w:b/>
                <w:sz w:val="21"/>
                <w:szCs w:val="21"/>
                <w:highlight w:val="none"/>
                <w:lang w:val="en-US" w:eastAsia="zh-CN"/>
              </w:rPr>
              <w:t xml:space="preserve"> </w:t>
            </w:r>
            <w:r>
              <w:rPr>
                <w:rFonts w:hint="eastAsia"/>
                <w:sz w:val="20"/>
                <w:szCs w:val="20"/>
                <w:highlight w:val="none"/>
                <w:lang w:val="en-US" w:eastAsia="zh-CN"/>
              </w:rPr>
              <w:t>由于疫情影响，今年公司环境监测已经与四川凯乐检测技术有限公司签订了检测合同，但是检测计划目前还未出具，现场提供检测合同，详见附件。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920" w:type="dxa"/>
            <w:vMerge w:val="continue"/>
            <w:vAlign w:val="center"/>
          </w:tcPr>
          <w:p>
            <w:pPr>
              <w:spacing w:line="240" w:lineRule="exact"/>
              <w:jc w:val="center"/>
              <w:rPr>
                <w:b/>
                <w:sz w:val="20"/>
              </w:rPr>
            </w:pPr>
          </w:p>
        </w:tc>
        <w:tc>
          <w:tcPr>
            <w:tcW w:w="8998" w:type="dxa"/>
          </w:tcPr>
          <w:p>
            <w:pPr>
              <w:spacing w:line="240" w:lineRule="exact"/>
              <w:ind w:left="105" w:hanging="105" w:hangingChars="50"/>
              <w:rPr>
                <w:rFonts w:ascii="宋体" w:hAnsi="宋体"/>
                <w:b/>
                <w:sz w:val="21"/>
                <w:szCs w:val="21"/>
                <w:highlight w:val="none"/>
              </w:rPr>
            </w:pPr>
            <w:r>
              <w:rPr>
                <w:rFonts w:ascii="宋体" w:hAnsi="宋体"/>
                <w:b/>
                <w:sz w:val="21"/>
                <w:szCs w:val="21"/>
                <w:highlight w:val="none"/>
              </w:rPr>
              <w:t>6.  EMS</w:t>
            </w:r>
            <w:r>
              <w:rPr>
                <w:rFonts w:hint="eastAsia" w:ascii="宋体" w:hAnsi="宋体"/>
                <w:b/>
                <w:sz w:val="21"/>
                <w:szCs w:val="21"/>
                <w:highlight w:val="none"/>
              </w:rPr>
              <w:t>国家</w:t>
            </w:r>
            <w:r>
              <w:rPr>
                <w:rFonts w:ascii="宋体" w:hAnsi="宋体"/>
                <w:b/>
                <w:sz w:val="21"/>
                <w:szCs w:val="21"/>
                <w:highlight w:val="none"/>
              </w:rPr>
              <w:t>/</w:t>
            </w:r>
            <w:r>
              <w:rPr>
                <w:rFonts w:hint="eastAsia" w:ascii="宋体" w:hAnsi="宋体"/>
                <w:b/>
                <w:sz w:val="21"/>
                <w:szCs w:val="21"/>
                <w:highlight w:val="none"/>
              </w:rPr>
              <w:t>地方环保部门监测结果、新改扩建项目符合环评报告、三同时验收报告要求情况及措施</w:t>
            </w:r>
            <w:r>
              <w:rPr>
                <w:rFonts w:ascii="宋体" w:hAnsi="宋体"/>
                <w:b/>
                <w:sz w:val="21"/>
                <w:szCs w:val="21"/>
                <w:highlight w:val="none"/>
              </w:rPr>
              <w:t>(98</w:t>
            </w:r>
            <w:r>
              <w:rPr>
                <w:rFonts w:hint="eastAsia" w:ascii="宋体" w:hAnsi="宋体"/>
                <w:b/>
                <w:sz w:val="21"/>
                <w:szCs w:val="21"/>
                <w:highlight w:val="none"/>
              </w:rPr>
              <w:t>年后</w:t>
            </w:r>
            <w:r>
              <w:rPr>
                <w:rFonts w:ascii="宋体" w:hAnsi="宋体"/>
                <w:b/>
                <w:sz w:val="21"/>
                <w:szCs w:val="21"/>
                <w:highlight w:val="none"/>
              </w:rPr>
              <w:t xml:space="preserve">) </w:t>
            </w:r>
          </w:p>
          <w:p>
            <w:pPr>
              <w:spacing w:line="240" w:lineRule="exact"/>
              <w:rPr>
                <w:rFonts w:hint="default" w:ascii="宋体" w:hAnsi="宋体" w:eastAsia="宋体"/>
                <w:b/>
                <w:sz w:val="21"/>
                <w:szCs w:val="21"/>
                <w:highlight w:val="none"/>
                <w:lang w:val="en-US" w:eastAsia="zh-CN"/>
              </w:rPr>
            </w:pPr>
            <w:r>
              <w:rPr>
                <w:rFonts w:hint="eastAsia"/>
                <w:sz w:val="20"/>
                <w:szCs w:val="20"/>
                <w:highlight w:val="none"/>
                <w:lang w:val="en-US" w:eastAsia="zh-CN"/>
              </w:rPr>
              <w:t>环评建设报告及批复见附件。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20" w:type="dxa"/>
            <w:vMerge w:val="continue"/>
            <w:vAlign w:val="center"/>
          </w:tcPr>
          <w:p>
            <w:pPr>
              <w:spacing w:line="240" w:lineRule="exact"/>
              <w:jc w:val="center"/>
              <w:rPr>
                <w:b/>
                <w:sz w:val="20"/>
              </w:rPr>
            </w:pPr>
          </w:p>
        </w:tc>
        <w:tc>
          <w:tcPr>
            <w:tcW w:w="89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20" w:type="dxa"/>
            <w:vMerge w:val="continue"/>
            <w:vAlign w:val="center"/>
          </w:tcPr>
          <w:p>
            <w:pPr>
              <w:spacing w:line="240" w:lineRule="exact"/>
              <w:jc w:val="center"/>
              <w:rPr>
                <w:b/>
                <w:sz w:val="20"/>
              </w:rPr>
            </w:pPr>
          </w:p>
        </w:tc>
        <w:tc>
          <w:tcPr>
            <w:tcW w:w="89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920" w:type="dxa"/>
            <w:vMerge w:val="continue"/>
            <w:vAlign w:val="center"/>
          </w:tcPr>
          <w:p>
            <w:pPr>
              <w:spacing w:line="240" w:lineRule="exact"/>
              <w:jc w:val="center"/>
              <w:rPr>
                <w:b/>
                <w:sz w:val="20"/>
              </w:rPr>
            </w:pPr>
          </w:p>
        </w:tc>
        <w:tc>
          <w:tcPr>
            <w:tcW w:w="8998" w:type="dxa"/>
          </w:tcPr>
          <w:p>
            <w:pPr>
              <w:widowControl/>
              <w:numPr>
                <w:ilvl w:val="0"/>
                <w:numId w:val="3"/>
              </w:numPr>
              <w:spacing w:line="240" w:lineRule="exact"/>
              <w:ind w:left="0" w:leftChars="0" w:firstLine="0" w:firstLineChars="0"/>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0"/>
              </w:numPr>
              <w:spacing w:line="240" w:lineRule="exact"/>
              <w:ind w:leftChars="0"/>
              <w:rPr>
                <w:rFonts w:hint="default"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9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89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numPr>
                <w:ilvl w:val="0"/>
                <w:numId w:val="0"/>
              </w:numPr>
              <w:spacing w:line="240" w:lineRule="exact"/>
              <w:ind w:leftChars="-50" w:firstLine="400" w:firstLineChars="200"/>
              <w:rPr>
                <w:rFonts w:hint="eastAsia"/>
                <w:sz w:val="20"/>
                <w:szCs w:val="20"/>
                <w:highlight w:val="none"/>
              </w:rPr>
            </w:pPr>
            <w:r>
              <w:rPr>
                <w:rFonts w:hint="eastAsia"/>
                <w:sz w:val="20"/>
                <w:szCs w:val="20"/>
                <w:highlight w:val="none"/>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20" w:type="dxa"/>
            <w:vMerge w:val="continue"/>
            <w:vAlign w:val="center"/>
          </w:tcPr>
          <w:p>
            <w:pPr>
              <w:spacing w:line="240" w:lineRule="exact"/>
              <w:jc w:val="center"/>
              <w:rPr>
                <w:b/>
                <w:sz w:val="20"/>
              </w:rPr>
            </w:pPr>
          </w:p>
        </w:tc>
        <w:tc>
          <w:tcPr>
            <w:tcW w:w="89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eastAsia" w:ascii="宋体" w:hAnsi="宋体" w:eastAsia="宋体"/>
                <w:b/>
                <w:sz w:val="21"/>
                <w:szCs w:val="21"/>
                <w:lang w:val="en-US" w:eastAsia="zh-CN"/>
              </w:rPr>
            </w:pPr>
            <w:r>
              <w:rPr>
                <w:rFonts w:hint="eastAsia"/>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20" w:type="dxa"/>
            <w:vMerge w:val="continue"/>
            <w:vAlign w:val="center"/>
          </w:tcPr>
          <w:p>
            <w:pPr>
              <w:spacing w:line="240" w:lineRule="exact"/>
              <w:jc w:val="center"/>
              <w:rPr>
                <w:b/>
                <w:sz w:val="20"/>
              </w:rPr>
            </w:pPr>
          </w:p>
        </w:tc>
        <w:tc>
          <w:tcPr>
            <w:tcW w:w="89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50"/>
              <w:rPr>
                <w:rFonts w:hint="eastAsia" w:ascii="宋体" w:hAnsi="宋体" w:eastAsia="宋体"/>
                <w:b/>
                <w:sz w:val="21"/>
                <w:szCs w:val="21"/>
                <w:lang w:val="en-US" w:eastAsia="zh-CN"/>
              </w:rPr>
            </w:pPr>
            <w:r>
              <w:rPr>
                <w:rFonts w:hint="eastAsia"/>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920" w:type="dxa"/>
            <w:vMerge w:val="continue"/>
            <w:vAlign w:val="center"/>
          </w:tcPr>
          <w:p>
            <w:pPr>
              <w:spacing w:line="240" w:lineRule="exact"/>
              <w:jc w:val="center"/>
              <w:rPr>
                <w:b/>
                <w:sz w:val="20"/>
              </w:rPr>
            </w:pPr>
          </w:p>
        </w:tc>
        <w:tc>
          <w:tcPr>
            <w:tcW w:w="89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Chars="-50" w:firstLine="400" w:firstLineChars="200"/>
              <w:rPr>
                <w:rFonts w:hint="default"/>
                <w:sz w:val="20"/>
                <w:szCs w:val="20"/>
                <w:highlight w:val="none"/>
                <w:lang w:val="en-US" w:eastAsia="zh-CN"/>
              </w:rPr>
            </w:pPr>
            <w:r>
              <w:rPr>
                <w:rFonts w:hint="eastAsia"/>
                <w:sz w:val="20"/>
                <w:szCs w:val="20"/>
                <w:highlight w:val="none"/>
                <w:lang w:val="en-US" w:eastAsia="zh-CN"/>
              </w:rPr>
              <w:t>上次不符合为生产技术部不符合E8.2条款，经本次验证未出现类视情况。</w:t>
            </w:r>
          </w:p>
          <w:p>
            <w:pPr>
              <w:numPr>
                <w:ilvl w:val="0"/>
                <w:numId w:val="0"/>
              </w:numPr>
              <w:spacing w:line="240" w:lineRule="exact"/>
              <w:ind w:leftChars="-50"/>
              <w:rPr>
                <w:rFonts w:hint="eastAsia" w:ascii="宋体" w:hAnsi="宋体"/>
                <w:b/>
                <w:sz w:val="21"/>
                <w:szCs w:val="21"/>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ind w:left="783" w:hanging="783" w:hangingChars="300"/>
        <w:rPr>
          <w:rFonts w:hint="eastAsia"/>
          <w:b/>
          <w:bCs/>
          <w:sz w:val="26"/>
          <w:szCs w:val="26"/>
        </w:rPr>
      </w:pPr>
      <w:r>
        <w:rPr>
          <w:rFonts w:hint="eastAsia"/>
          <w:b/>
          <w:bCs/>
          <w:sz w:val="26"/>
          <w:szCs w:val="26"/>
        </w:rPr>
        <w:t>审核组组长（签名）：</w:t>
      </w:r>
    </w:p>
    <w:p>
      <w:pPr>
        <w:ind w:left="783" w:hanging="783" w:hangingChars="300"/>
        <w:rPr>
          <w:rFonts w:hint="eastAsia"/>
          <w:b/>
          <w:bCs/>
          <w:sz w:val="26"/>
          <w:szCs w:val="26"/>
        </w:rPr>
      </w:pPr>
      <w:r>
        <w:rPr>
          <w:rFonts w:hint="eastAsia"/>
          <w:b/>
          <w:bCs/>
          <w:sz w:val="26"/>
          <w:szCs w:val="26"/>
        </w:rPr>
        <w:t>审核组组员（签名）：</w:t>
      </w:r>
    </w:p>
    <w:p>
      <w:pPr>
        <w:ind w:left="783" w:hanging="783" w:hangingChars="300"/>
        <w:jc w:val="center"/>
        <w:rPr>
          <w:rFonts w:hint="eastAsia"/>
          <w:b/>
          <w:bCs/>
          <w:sz w:val="26"/>
          <w:szCs w:val="26"/>
        </w:rPr>
      </w:pPr>
      <w:r>
        <w:rPr>
          <w:rFonts w:hint="eastAsia"/>
          <w:b/>
          <w:bCs/>
          <w:sz w:val="26"/>
          <w:szCs w:val="26"/>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A3"/>
      </w:r>
      <w:r>
        <w:rPr>
          <w:b/>
          <w:sz w:val="21"/>
          <w:szCs w:val="21"/>
        </w:rPr>
        <w:t>QMS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743056"/>
    <w:multiLevelType w:val="singleLevel"/>
    <w:tmpl w:val="C9743056"/>
    <w:lvl w:ilvl="0" w:tentative="0">
      <w:start w:val="2"/>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0DA7C9DF"/>
    <w:multiLevelType w:val="singleLevel"/>
    <w:tmpl w:val="0DA7C9DF"/>
    <w:lvl w:ilvl="0" w:tentative="0">
      <w:start w:val="5"/>
      <w:numFmt w:val="decimal"/>
      <w:suff w:val="space"/>
      <w:lvlText w:val="%1."/>
      <w:lvlJc w:val="left"/>
    </w:lvl>
  </w:abstractNum>
  <w:abstractNum w:abstractNumId="3">
    <w:nsid w:val="365931EC"/>
    <w:multiLevelType w:val="singleLevel"/>
    <w:tmpl w:val="365931EC"/>
    <w:lvl w:ilvl="0" w:tentative="0">
      <w:start w:val="4"/>
      <w:numFmt w:val="decimal"/>
      <w:suff w:val="nothing"/>
      <w:lvlText w:val="%1、"/>
      <w:lvlJc w:val="left"/>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5FF0E92"/>
    <w:multiLevelType w:val="singleLevel"/>
    <w:tmpl w:val="55FF0E92"/>
    <w:lvl w:ilvl="0" w:tentative="0">
      <w:start w:val="8"/>
      <w:numFmt w:val="decimal"/>
      <w:suff w:val="space"/>
      <w:lvlText w:val="%1."/>
      <w:lvlJc w:val="left"/>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A07C46"/>
    <w:rsid w:val="01CD3F39"/>
    <w:rsid w:val="01E572ED"/>
    <w:rsid w:val="03916034"/>
    <w:rsid w:val="040E618C"/>
    <w:rsid w:val="051872C2"/>
    <w:rsid w:val="056863C0"/>
    <w:rsid w:val="07AC1DB6"/>
    <w:rsid w:val="09675BE0"/>
    <w:rsid w:val="098E1160"/>
    <w:rsid w:val="0B8E45B7"/>
    <w:rsid w:val="0B9A4AE3"/>
    <w:rsid w:val="0C3716E5"/>
    <w:rsid w:val="0D101199"/>
    <w:rsid w:val="0E826C61"/>
    <w:rsid w:val="0E9803EB"/>
    <w:rsid w:val="0F45208F"/>
    <w:rsid w:val="104C5B1A"/>
    <w:rsid w:val="107E6259"/>
    <w:rsid w:val="114D1D88"/>
    <w:rsid w:val="120E5CAE"/>
    <w:rsid w:val="130E3A86"/>
    <w:rsid w:val="134C582C"/>
    <w:rsid w:val="14197ED7"/>
    <w:rsid w:val="150B5514"/>
    <w:rsid w:val="16C20B97"/>
    <w:rsid w:val="16DC47C4"/>
    <w:rsid w:val="1AFF14CF"/>
    <w:rsid w:val="1B883395"/>
    <w:rsid w:val="1D165942"/>
    <w:rsid w:val="1ED975B4"/>
    <w:rsid w:val="1F7A29C7"/>
    <w:rsid w:val="200D7052"/>
    <w:rsid w:val="20702A30"/>
    <w:rsid w:val="20C53CCE"/>
    <w:rsid w:val="20FD649F"/>
    <w:rsid w:val="25142F26"/>
    <w:rsid w:val="25E01C32"/>
    <w:rsid w:val="262D78C5"/>
    <w:rsid w:val="26786C4B"/>
    <w:rsid w:val="2697195C"/>
    <w:rsid w:val="26CA1DA1"/>
    <w:rsid w:val="26E56B18"/>
    <w:rsid w:val="27EE0EDD"/>
    <w:rsid w:val="29E55B86"/>
    <w:rsid w:val="2A1B0594"/>
    <w:rsid w:val="2AA97DAE"/>
    <w:rsid w:val="2C741EA2"/>
    <w:rsid w:val="2D7C28EF"/>
    <w:rsid w:val="2E41066F"/>
    <w:rsid w:val="32082226"/>
    <w:rsid w:val="33017762"/>
    <w:rsid w:val="34440F0D"/>
    <w:rsid w:val="364A3284"/>
    <w:rsid w:val="36757371"/>
    <w:rsid w:val="36E419A0"/>
    <w:rsid w:val="38192BD5"/>
    <w:rsid w:val="38647CE3"/>
    <w:rsid w:val="3869122B"/>
    <w:rsid w:val="392C2A53"/>
    <w:rsid w:val="39493312"/>
    <w:rsid w:val="3ABE4A69"/>
    <w:rsid w:val="3AF165B2"/>
    <w:rsid w:val="3B2641A6"/>
    <w:rsid w:val="3B3719BC"/>
    <w:rsid w:val="3C45300F"/>
    <w:rsid w:val="3C463971"/>
    <w:rsid w:val="3C82007B"/>
    <w:rsid w:val="3D2B6054"/>
    <w:rsid w:val="3DA55F43"/>
    <w:rsid w:val="403A3976"/>
    <w:rsid w:val="41855F86"/>
    <w:rsid w:val="419D5661"/>
    <w:rsid w:val="4289460C"/>
    <w:rsid w:val="434406D4"/>
    <w:rsid w:val="43D51A80"/>
    <w:rsid w:val="45A00627"/>
    <w:rsid w:val="45F21278"/>
    <w:rsid w:val="47895D79"/>
    <w:rsid w:val="48057DE3"/>
    <w:rsid w:val="49204FAC"/>
    <w:rsid w:val="4AC61242"/>
    <w:rsid w:val="4B6F3612"/>
    <w:rsid w:val="4B7F5094"/>
    <w:rsid w:val="4DD0464F"/>
    <w:rsid w:val="4F62080E"/>
    <w:rsid w:val="51DF7E60"/>
    <w:rsid w:val="53DE2DEA"/>
    <w:rsid w:val="54B533E0"/>
    <w:rsid w:val="554A682D"/>
    <w:rsid w:val="56264A85"/>
    <w:rsid w:val="56BA24BE"/>
    <w:rsid w:val="5A966616"/>
    <w:rsid w:val="5C097184"/>
    <w:rsid w:val="5CC67608"/>
    <w:rsid w:val="5D8D70F2"/>
    <w:rsid w:val="5DD40BE5"/>
    <w:rsid w:val="5EE53394"/>
    <w:rsid w:val="61341D4C"/>
    <w:rsid w:val="61875189"/>
    <w:rsid w:val="61EE46BC"/>
    <w:rsid w:val="61F46EEC"/>
    <w:rsid w:val="62106B32"/>
    <w:rsid w:val="66DF4D4E"/>
    <w:rsid w:val="67B96D9D"/>
    <w:rsid w:val="682B53EE"/>
    <w:rsid w:val="69074886"/>
    <w:rsid w:val="695B5E02"/>
    <w:rsid w:val="6A9749BB"/>
    <w:rsid w:val="6BBB64F0"/>
    <w:rsid w:val="6DD55037"/>
    <w:rsid w:val="6F350F5D"/>
    <w:rsid w:val="70562820"/>
    <w:rsid w:val="70CC7CFE"/>
    <w:rsid w:val="71232B76"/>
    <w:rsid w:val="74300B8D"/>
    <w:rsid w:val="75F026F2"/>
    <w:rsid w:val="76661983"/>
    <w:rsid w:val="77E03209"/>
    <w:rsid w:val="77F563B2"/>
    <w:rsid w:val="792E2AF4"/>
    <w:rsid w:val="797B0856"/>
    <w:rsid w:val="79EE4792"/>
    <w:rsid w:val="7B9E2423"/>
    <w:rsid w:val="7D5F30A1"/>
    <w:rsid w:val="7DEA2081"/>
    <w:rsid w:val="7E3115A9"/>
    <w:rsid w:val="7ED82F8E"/>
    <w:rsid w:val="7F0338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11</TotalTime>
  <ScaleCrop>false</ScaleCrop>
  <LinksUpToDate>false</LinksUpToDate>
  <CharactersWithSpaces>4386</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2020-09-27T08:13:58Z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