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南昌凯丰酒店用品设备有限公司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江西省南昌市新建区望城新区科发路168号酒店设备园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刘燕华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0791-87122777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330038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0509-2020-QEO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Q：不锈钢厨房设备、餐具、清洁设备、酒店配套用品、工艺品的销售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E：不锈钢厨房设备、餐具、清洁设备、酒店配套用品、工艺品的销售</w:t>
            </w:r>
            <w:r>
              <w:rPr>
                <w:rFonts w:hint="eastAsia"/>
                <w:sz w:val="20"/>
                <w:lang w:val="en-US" w:eastAsia="zh-CN"/>
              </w:rPr>
              <w:t>所涉及的</w:t>
            </w:r>
            <w:r>
              <w:rPr>
                <w:sz w:val="20"/>
              </w:rPr>
              <w:t>环境管理活动</w:t>
            </w: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O：不锈钢厨房设备、餐具、清洁设备、酒店配套用品、工艺品的销售</w:t>
            </w:r>
            <w:bookmarkEnd w:id="13"/>
            <w:r>
              <w:rPr>
                <w:rFonts w:hint="eastAsia"/>
                <w:sz w:val="20"/>
                <w:lang w:val="en-US" w:eastAsia="zh-CN"/>
              </w:rPr>
              <w:t>所涉及的职业健康安全管理活动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2020年09月29日 上午至2020年09月30日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林郁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15979011916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2020.9.20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2020.9.20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2506" w:firstLineChars="1253"/>
        <w:rPr>
          <w:rFonts w:hint="eastAsia" w:ascii="宋体" w:hAnsi="宋体"/>
          <w:b/>
          <w:bCs/>
          <w:sz w:val="30"/>
          <w:szCs w:val="30"/>
        </w:rPr>
      </w:pPr>
      <w:bookmarkStart w:id="17" w:name="_GoBack"/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-2540</wp:posOffset>
            </wp:positionV>
            <wp:extent cx="6612255" cy="8589010"/>
            <wp:effectExtent l="0" t="0" r="4445" b="8890"/>
            <wp:wrapNone/>
            <wp:docPr id="2" name="图片 2" descr="扫描全能王 2020-09-30 13.12.3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09-30 13.12.38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2255" cy="858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614" w:firstLineChars="1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524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84" w:type="dxa"/>
            <w:vMerge w:val="restart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2020.9.29</w:t>
            </w:r>
          </w:p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1384" w:type="dxa"/>
            <w:vMerge w:val="continue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E7.1）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OHSMS:4.1理解组织及其环境、4.2理解相关方的需求和期望、4.3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安全方针、5.3组织的岗位、职责和权限、5.4协商与参与、6.1应对风险和机遇的措施、6.2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安全目标及其实现的策划、7.1资源总则、7.4沟通/信息交流、9.3管理评审、10.1改进、10.3持续改进，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B（Q）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b/>
                <w:sz w:val="21"/>
                <w:szCs w:val="21"/>
                <w:u w:val="wave"/>
                <w:lang w:val="en-US" w:eastAsia="zh-CN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84" w:type="dxa"/>
            <w:vMerge w:val="continue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采购部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8.1运行策划和控制、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8.4外部提供过程、产</w:t>
            </w:r>
            <w:r>
              <w:rPr>
                <w:rFonts w:hint="eastAsia" w:ascii="宋体" w:hAnsi="宋体" w:cs="Arial"/>
                <w:sz w:val="21"/>
                <w:szCs w:val="21"/>
              </w:rPr>
              <w:t>品和服务的控制、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384" w:type="dxa"/>
            <w:vMerge w:val="restart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20.9.30</w:t>
            </w:r>
          </w:p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8.1运行策划和控制、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8.2产品和服务的要求、8.5.1销售服务过程控制、8.5.3顾客或外部供方的财</w:t>
            </w:r>
            <w:r>
              <w:rPr>
                <w:rFonts w:hint="eastAsia" w:ascii="宋体" w:hAnsi="宋体" w:cs="Arial"/>
                <w:sz w:val="21"/>
                <w:szCs w:val="21"/>
              </w:rPr>
              <w:t>产、9.1.2顾客满意、8.5.5交付后的活动、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制、8.2应急准备和响应，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7" w:hRule="atLeast"/>
        </w:trPr>
        <w:tc>
          <w:tcPr>
            <w:tcW w:w="1384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EMS: 5.3组织的岗位、职责和权限、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6.1.2环境因素的识别与评价、6.1.3合规义务、6.1.4措施的策划、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6.2.1环境目标、6.2.2实现环境目标措施的策划7.2能力、7.3意识、7.5.1形成文件的信息总则、7.5.2形成文件的信息的创建和更新、7.5.3形成文件的信息的控制、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8.1运行策划和控制、8.2应急准备和响应9.1监视测分析和评价（9.1.1总则、9.1.2合规性评价）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9.2 内部审核、10.2不符合/事件和纠正措施，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firstLine="211" w:firstLineChars="100"/>
              <w:jc w:val="both"/>
              <w:rPr>
                <w:rFonts w:hint="default" w:ascii="宋体" w:hAnsi="宋体" w:eastAsia="宋体" w:cs="Arial"/>
                <w:b/>
                <w:sz w:val="21"/>
                <w:szCs w:val="21"/>
                <w:u w:val="wav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212C04"/>
    <w:rsid w:val="6E7612C7"/>
    <w:rsid w:val="70536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2020-09-30T05:52:38Z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