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09" w:rsidRPr="00C44D4F" w:rsidRDefault="001012F4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C44D4F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311"/>
        <w:gridCol w:w="10738"/>
        <w:gridCol w:w="851"/>
      </w:tblGrid>
      <w:tr w:rsidR="00C22509" w:rsidRPr="00C44D4F" w:rsidTr="003139A6">
        <w:trPr>
          <w:trHeight w:val="515"/>
        </w:trPr>
        <w:tc>
          <w:tcPr>
            <w:tcW w:w="1809" w:type="dxa"/>
            <w:vMerge w:val="restart"/>
            <w:vAlign w:val="center"/>
          </w:tcPr>
          <w:p w:rsidR="00C22509" w:rsidRPr="00C44D4F" w:rsidRDefault="001012F4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C22509" w:rsidRPr="00C44D4F" w:rsidRDefault="001012F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22509" w:rsidRPr="00C44D4F" w:rsidRDefault="001012F4">
            <w:pPr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C22509" w:rsidRPr="00C44D4F" w:rsidRDefault="001012F4">
            <w:pPr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612BD7" w:rsidRPr="00C44D4F"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Pr="00C44D4F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主管领导：</w:t>
            </w:r>
            <w:r w:rsidR="00C44D4F" w:rsidRPr="00C44D4F">
              <w:rPr>
                <w:rFonts w:eastAsiaTheme="minorEastAsia" w:hAnsiTheme="minorEastAsia"/>
                <w:sz w:val="24"/>
                <w:szCs w:val="24"/>
              </w:rPr>
              <w:t>石仕江</w:t>
            </w:r>
            <w:r w:rsidRPr="00C44D4F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C44D4F" w:rsidRPr="00C44D4F">
              <w:rPr>
                <w:rFonts w:eastAsiaTheme="minorEastAsia" w:hAnsiTheme="minorEastAsia" w:hint="eastAsia"/>
                <w:sz w:val="24"/>
                <w:szCs w:val="24"/>
              </w:rPr>
              <w:t>柳秋华</w:t>
            </w:r>
          </w:p>
        </w:tc>
        <w:tc>
          <w:tcPr>
            <w:tcW w:w="851" w:type="dxa"/>
            <w:vMerge w:val="restart"/>
            <w:vAlign w:val="center"/>
          </w:tcPr>
          <w:p w:rsidR="00C22509" w:rsidRPr="00C44D4F" w:rsidRDefault="001012F4">
            <w:pPr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C22509" w:rsidRPr="00C44D4F" w:rsidTr="003139A6">
        <w:trPr>
          <w:trHeight w:val="403"/>
        </w:trPr>
        <w:tc>
          <w:tcPr>
            <w:tcW w:w="1809" w:type="dxa"/>
            <w:vMerge/>
            <w:vAlign w:val="center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C22509" w:rsidRPr="00C44D4F" w:rsidRDefault="001012F4" w:rsidP="00C44D4F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C44D4F" w:rsidRPr="00C44D4F">
              <w:rPr>
                <w:rFonts w:eastAsiaTheme="minorEastAsia" w:hAnsiTheme="minorEastAsia"/>
                <w:sz w:val="24"/>
                <w:szCs w:val="24"/>
              </w:rPr>
              <w:t>文波（专业条款审核有审核员王志慧、专家石泽龙的专业支持）</w:t>
            </w:r>
            <w:r w:rsidR="00C44D4F" w:rsidRPr="00C44D4F">
              <w:rPr>
                <w:rFonts w:eastAsiaTheme="minorEastAsia"/>
                <w:sz w:val="24"/>
                <w:szCs w:val="24"/>
              </w:rPr>
              <w:t xml:space="preserve">   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C44D4F" w:rsidRPr="00C44D4F">
              <w:rPr>
                <w:rFonts w:eastAsiaTheme="minorEastAsia"/>
                <w:sz w:val="24"/>
                <w:szCs w:val="24"/>
              </w:rPr>
              <w:t>2020.9</w:t>
            </w:r>
            <w:r w:rsidRPr="00C44D4F">
              <w:rPr>
                <w:rFonts w:eastAsiaTheme="minorEastAsia"/>
                <w:sz w:val="24"/>
                <w:szCs w:val="24"/>
              </w:rPr>
              <w:t>.</w:t>
            </w:r>
            <w:r w:rsidR="00C44D4F" w:rsidRPr="00C44D4F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51" w:type="dxa"/>
            <w:vMerge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22509" w:rsidRPr="00C44D4F" w:rsidTr="003139A6">
        <w:trPr>
          <w:trHeight w:val="516"/>
        </w:trPr>
        <w:tc>
          <w:tcPr>
            <w:tcW w:w="1809" w:type="dxa"/>
            <w:vMerge/>
            <w:vAlign w:val="center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C22509" w:rsidRPr="00C44D4F" w:rsidRDefault="001012F4" w:rsidP="009D159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/>
                <w:bCs/>
                <w:szCs w:val="21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审核</w:t>
            </w:r>
            <w:r w:rsidRPr="00C44D4F">
              <w:rPr>
                <w:rFonts w:eastAsiaTheme="minorEastAsia" w:hAnsiTheme="minorEastAsia"/>
                <w:bCs/>
                <w:szCs w:val="21"/>
              </w:rPr>
              <w:t>条款：</w:t>
            </w:r>
            <w:r w:rsidR="009D1594" w:rsidRPr="00C44D4F">
              <w:rPr>
                <w:rFonts w:eastAsiaTheme="minorEastAsia"/>
                <w:szCs w:val="21"/>
              </w:rPr>
              <w:t xml:space="preserve"> </w:t>
            </w:r>
            <w:r w:rsidR="00612BD7" w:rsidRPr="00C44D4F">
              <w:rPr>
                <w:rFonts w:eastAsiaTheme="minorEastAsia"/>
                <w:szCs w:val="21"/>
              </w:rPr>
              <w:t>OHSMS: 5.3</w:t>
            </w:r>
            <w:r w:rsidR="00612BD7" w:rsidRPr="00C44D4F">
              <w:rPr>
                <w:rFonts w:eastAsiaTheme="minorEastAsia" w:hAnsiTheme="minorEastAsia"/>
                <w:szCs w:val="21"/>
              </w:rPr>
              <w:t>组织的岗位、职责和权限、</w:t>
            </w:r>
            <w:r w:rsidR="00612BD7" w:rsidRPr="00C44D4F">
              <w:rPr>
                <w:rFonts w:eastAsiaTheme="minorEastAsia"/>
                <w:szCs w:val="21"/>
              </w:rPr>
              <w:t>6.2</w:t>
            </w:r>
            <w:r w:rsidR="00612BD7" w:rsidRPr="00C44D4F">
              <w:rPr>
                <w:rFonts w:eastAsiaTheme="minorEastAsia" w:hAnsiTheme="minorEastAsia"/>
                <w:szCs w:val="21"/>
              </w:rPr>
              <w:t>职业健康安全目标、</w:t>
            </w:r>
            <w:r w:rsidR="00612BD7" w:rsidRPr="00C44D4F">
              <w:rPr>
                <w:rFonts w:eastAsiaTheme="minorEastAsia"/>
                <w:szCs w:val="21"/>
              </w:rPr>
              <w:t>6.1.2</w:t>
            </w:r>
            <w:r w:rsidR="00612BD7" w:rsidRPr="00C44D4F">
              <w:rPr>
                <w:rFonts w:eastAsiaTheme="minorEastAsia" w:hAnsiTheme="minorEastAsia"/>
                <w:szCs w:val="21"/>
              </w:rPr>
              <w:t>危险源辨识与评价、</w:t>
            </w:r>
            <w:r w:rsidR="00612BD7" w:rsidRPr="00C44D4F">
              <w:rPr>
                <w:rFonts w:eastAsiaTheme="minorEastAsia"/>
                <w:szCs w:val="21"/>
              </w:rPr>
              <w:t>8.1</w:t>
            </w:r>
            <w:r w:rsidR="00612BD7" w:rsidRPr="00C44D4F">
              <w:rPr>
                <w:rFonts w:eastAsiaTheme="minorEastAsia" w:hAnsiTheme="minorEastAsia"/>
                <w:szCs w:val="21"/>
              </w:rPr>
              <w:t>运行策划和控制</w:t>
            </w:r>
          </w:p>
        </w:tc>
        <w:tc>
          <w:tcPr>
            <w:tcW w:w="851" w:type="dxa"/>
            <w:vMerge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22509" w:rsidRPr="00C44D4F" w:rsidTr="003139A6">
        <w:trPr>
          <w:trHeight w:val="1538"/>
        </w:trPr>
        <w:tc>
          <w:tcPr>
            <w:tcW w:w="1809" w:type="dxa"/>
            <w:vAlign w:val="center"/>
          </w:tcPr>
          <w:p w:rsidR="00C22509" w:rsidRPr="00C44D4F" w:rsidRDefault="001012F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</w:tcPr>
          <w:p w:rsidR="006F2512" w:rsidRPr="00C44D4F" w:rsidRDefault="00DF7C9C" w:rsidP="006F251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/>
                <w:sz w:val="24"/>
                <w:szCs w:val="24"/>
              </w:rPr>
              <w:t>O</w:t>
            </w:r>
            <w:r w:rsidR="006F2512" w:rsidRPr="00C44D4F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738" w:type="dxa"/>
          </w:tcPr>
          <w:p w:rsidR="00C22509" w:rsidRPr="00C44D4F" w:rsidRDefault="001012F4" w:rsidP="00B83ED8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询问</w:t>
            </w:r>
            <w:r w:rsidR="00612BD7" w:rsidRPr="00C44D4F"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负责人</w:t>
            </w:r>
            <w:r w:rsidR="00612BD7" w:rsidRPr="00C44D4F">
              <w:rPr>
                <w:rFonts w:eastAsiaTheme="minorEastAsia" w:hAnsiTheme="minorEastAsia"/>
                <w:sz w:val="24"/>
                <w:szCs w:val="24"/>
              </w:rPr>
              <w:t>王彦波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，能明确本部门的职责：负责</w:t>
            </w:r>
            <w:r w:rsidR="006052B6" w:rsidRPr="00C44D4F">
              <w:rPr>
                <w:rFonts w:eastAsiaTheme="minorEastAsia" w:hAnsiTheme="minorEastAsia"/>
                <w:sz w:val="24"/>
                <w:szCs w:val="24"/>
              </w:rPr>
              <w:t>运行策划和控制、产品设计开发的控制、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负责</w:t>
            </w:r>
            <w:r w:rsidR="006052B6" w:rsidRPr="00C44D4F"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="00C44D4F" w:rsidRPr="00C44D4F">
              <w:rPr>
                <w:rFonts w:eastAsiaTheme="minorEastAsia" w:hAnsiTheme="minorEastAsia"/>
                <w:sz w:val="24"/>
                <w:szCs w:val="24"/>
              </w:rPr>
              <w:t>环境因素、危险源辨识和控制等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C22509" w:rsidRPr="00C44D4F" w:rsidRDefault="00612BD7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技术部</w:t>
            </w:r>
            <w:r w:rsidR="001012F4" w:rsidRPr="00C44D4F">
              <w:rPr>
                <w:rFonts w:eastAsiaTheme="minorEastAsia" w:hAnsiTheme="minorEastAsia"/>
                <w:sz w:val="24"/>
                <w:szCs w:val="24"/>
              </w:rPr>
              <w:t>上述作用和职责、权限基本得到有效沟通和实施。</w:t>
            </w:r>
          </w:p>
        </w:tc>
        <w:tc>
          <w:tcPr>
            <w:tcW w:w="851" w:type="dxa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22509" w:rsidRPr="00C44D4F" w:rsidTr="003139A6">
        <w:trPr>
          <w:trHeight w:val="1255"/>
        </w:trPr>
        <w:tc>
          <w:tcPr>
            <w:tcW w:w="1809" w:type="dxa"/>
            <w:vAlign w:val="center"/>
          </w:tcPr>
          <w:p w:rsidR="00C22509" w:rsidRPr="00C44D4F" w:rsidRDefault="001012F4" w:rsidP="007415B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22509" w:rsidRPr="00C44D4F" w:rsidRDefault="00DF7C9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/>
                <w:sz w:val="24"/>
                <w:szCs w:val="24"/>
              </w:rPr>
              <w:t>O</w:t>
            </w:r>
            <w:r w:rsidR="001012F4" w:rsidRPr="00C44D4F">
              <w:rPr>
                <w:rFonts w:eastAsiaTheme="minorEastAsia"/>
                <w:sz w:val="24"/>
                <w:szCs w:val="24"/>
              </w:rPr>
              <w:t>6.2</w:t>
            </w:r>
          </w:p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3139A6" w:rsidRPr="00C44D4F" w:rsidRDefault="001012F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 w:rsidRPr="00C44D4F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tbl>
            <w:tblPr>
              <w:tblStyle w:val="a7"/>
              <w:tblW w:w="10488" w:type="dxa"/>
              <w:tblLayout w:type="fixed"/>
              <w:tblLook w:val="04A0"/>
            </w:tblPr>
            <w:tblGrid>
              <w:gridCol w:w="615"/>
              <w:gridCol w:w="3240"/>
              <w:gridCol w:w="3078"/>
              <w:gridCol w:w="2355"/>
              <w:gridCol w:w="1200"/>
            </w:tblGrid>
            <w:tr w:rsidR="003139A6" w:rsidRPr="00C44D4F" w:rsidTr="003139A6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部门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目标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考核方式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考核结果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完成情况</w:t>
                  </w:r>
                </w:p>
              </w:tc>
            </w:tr>
            <w:tr w:rsidR="003139A6" w:rsidRPr="00C44D4F" w:rsidTr="003139A6">
              <w:trPr>
                <w:trHeight w:val="445"/>
              </w:trPr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Pr="00C44D4F" w:rsidRDefault="003139A6" w:rsidP="00CF2F80"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技术部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 w:rsidP="00CF2F80">
                  <w:pPr>
                    <w:rPr>
                      <w:rFonts w:eastAsiaTheme="minorEastAsia"/>
                      <w:color w:val="000000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产品一次交验合格率</w:t>
                  </w:r>
                  <w:r w:rsidRPr="00C44D4F">
                    <w:rPr>
                      <w:rFonts w:eastAsiaTheme="minorEastAsia"/>
                      <w:szCs w:val="21"/>
                    </w:rPr>
                    <w:t xml:space="preserve">97% </w:t>
                  </w:r>
                  <w:r w:rsidRPr="00C44D4F">
                    <w:rPr>
                      <w:rFonts w:eastAsiaTheme="minorEastAsia" w:hAnsiTheme="minorEastAsia"/>
                      <w:szCs w:val="21"/>
                    </w:rPr>
                    <w:t>以上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9A6" w:rsidRPr="00C44D4F" w:rsidRDefault="003139A6" w:rsidP="00CF2F80">
                  <w:pPr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查看检验记录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 w:rsidP="00CF2F80">
                  <w:pPr>
                    <w:rPr>
                      <w:rFonts w:eastAsiaTheme="minorEastAsia"/>
                      <w:color w:val="000000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产品一次交验合格率</w:t>
                  </w:r>
                  <w:r w:rsidRPr="00C44D4F">
                    <w:rPr>
                      <w:rFonts w:eastAsiaTheme="minorEastAsia"/>
                      <w:szCs w:val="21"/>
                    </w:rPr>
                    <w:t>100%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 w:rsidP="00CF2F80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  <w:tr w:rsidR="003139A6" w:rsidRPr="00C44D4F" w:rsidTr="003139A6"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Pr="00C44D4F" w:rsidRDefault="003139A6"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固废分类处置率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符合数量</w:t>
                  </w:r>
                  <w:r w:rsidRPr="00C44D4F">
                    <w:rPr>
                      <w:rFonts w:eastAsiaTheme="minorEastAsia"/>
                      <w:szCs w:val="21"/>
                    </w:rPr>
                    <w:t>÷</w:t>
                  </w:r>
                  <w:r w:rsidRPr="00C44D4F">
                    <w:rPr>
                      <w:rFonts w:eastAsiaTheme="minorEastAsia" w:hAnsiTheme="minorEastAsia"/>
                      <w:szCs w:val="21"/>
                    </w:rPr>
                    <w:t>检查数量</w:t>
                  </w:r>
                  <w:r w:rsidRPr="00C44D4F">
                    <w:rPr>
                      <w:rFonts w:eastAsiaTheme="minorEastAsia"/>
                      <w:szCs w:val="21"/>
                    </w:rPr>
                    <w:t>×100%</w:t>
                  </w:r>
                  <w:r w:rsidRPr="00C44D4F">
                    <w:rPr>
                      <w:rFonts w:eastAsiaTheme="minorEastAsia" w:hAnsiTheme="minorEastAsia"/>
                      <w:szCs w:val="21"/>
                    </w:rPr>
                    <w:t>。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固废分类处置率</w:t>
                  </w:r>
                  <w:r w:rsidRPr="00C44D4F">
                    <w:rPr>
                      <w:rFonts w:eastAsiaTheme="minorEastAsia"/>
                      <w:szCs w:val="21"/>
                    </w:rPr>
                    <w:t>100%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  <w:tr w:rsidR="003139A6" w:rsidRPr="00C44D4F" w:rsidTr="003139A6"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39A6" w:rsidRPr="00C44D4F" w:rsidRDefault="003139A6"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火灾、触电事故发生次数为</w:t>
                  </w:r>
                  <w:r w:rsidRPr="00C44D4F">
                    <w:rPr>
                      <w:rFonts w:eastAsiaTheme="minorEastAsia"/>
                      <w:szCs w:val="21"/>
                    </w:rPr>
                    <w:t>0</w:t>
                  </w:r>
                </w:p>
              </w:tc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没有发生事故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9A6" w:rsidRPr="00C44D4F" w:rsidRDefault="003139A6"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 w:rsidRPr="00C44D4F">
                    <w:rPr>
                      <w:rFonts w:eastAsiaTheme="minorEastAsia" w:hAnsiTheme="minorEastAsia"/>
                      <w:szCs w:val="21"/>
                    </w:rPr>
                    <w:t>已经完成</w:t>
                  </w:r>
                </w:p>
              </w:tc>
            </w:tr>
          </w:tbl>
          <w:p w:rsidR="00E34058" w:rsidRPr="00C44D4F" w:rsidRDefault="00E34058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  <w:p w:rsidR="00C22509" w:rsidRPr="00C44D4F" w:rsidRDefault="001012F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sz w:val="24"/>
                <w:szCs w:val="24"/>
              </w:rPr>
              <w:t>考核情况，经查</w:t>
            </w:r>
            <w:r w:rsidR="00C44D4F">
              <w:rPr>
                <w:rFonts w:eastAsiaTheme="minorEastAsia"/>
                <w:sz w:val="24"/>
                <w:szCs w:val="24"/>
              </w:rPr>
              <w:t>20</w:t>
            </w:r>
            <w:r w:rsidR="00C44D4F">
              <w:rPr>
                <w:rFonts w:eastAsiaTheme="minorEastAsia" w:hint="eastAsia"/>
                <w:sz w:val="24"/>
                <w:szCs w:val="24"/>
              </w:rPr>
              <w:t>20</w:t>
            </w:r>
            <w:r w:rsidRPr="00C44D4F">
              <w:rPr>
                <w:rFonts w:eastAsiaTheme="minorEastAsia"/>
                <w:sz w:val="24"/>
                <w:szCs w:val="24"/>
              </w:rPr>
              <w:t>.</w:t>
            </w:r>
            <w:r w:rsidR="00C44D4F">
              <w:rPr>
                <w:rFonts w:eastAsiaTheme="minorEastAsia" w:hint="eastAsia"/>
                <w:sz w:val="24"/>
                <w:szCs w:val="24"/>
              </w:rPr>
              <w:t>8</w:t>
            </w:r>
            <w:r w:rsidRPr="00C44D4F">
              <w:rPr>
                <w:rFonts w:eastAsiaTheme="minorEastAsia"/>
                <w:sz w:val="24"/>
                <w:szCs w:val="24"/>
              </w:rPr>
              <w:t>.</w:t>
            </w:r>
            <w:r w:rsidR="00C44D4F">
              <w:rPr>
                <w:rFonts w:eastAsiaTheme="minorEastAsia" w:hint="eastAsia"/>
                <w:sz w:val="24"/>
                <w:szCs w:val="24"/>
              </w:rPr>
              <w:t>28</w:t>
            </w:r>
            <w:r w:rsidRPr="00C44D4F">
              <w:rPr>
                <w:rFonts w:eastAsiaTheme="minorEastAsia" w:hAnsiTheme="minorEastAsia"/>
                <w:sz w:val="24"/>
                <w:szCs w:val="24"/>
              </w:rPr>
              <w:t>已完成。</w:t>
            </w:r>
          </w:p>
          <w:p w:rsidR="00C22509" w:rsidRPr="00C44D4F" w:rsidRDefault="00C2250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22509" w:rsidRPr="00C44D4F" w:rsidTr="003139A6">
        <w:trPr>
          <w:trHeight w:val="1255"/>
        </w:trPr>
        <w:tc>
          <w:tcPr>
            <w:tcW w:w="1809" w:type="dxa"/>
          </w:tcPr>
          <w:p w:rsidR="00C22509" w:rsidRPr="00C44D4F" w:rsidRDefault="001012F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危险源</w:t>
            </w:r>
          </w:p>
        </w:tc>
        <w:tc>
          <w:tcPr>
            <w:tcW w:w="1311" w:type="dxa"/>
          </w:tcPr>
          <w:p w:rsidR="00C22509" w:rsidRPr="00C44D4F" w:rsidRDefault="00DF7C9C" w:rsidP="006F251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/>
                <w:bCs/>
                <w:sz w:val="24"/>
                <w:szCs w:val="24"/>
              </w:rPr>
              <w:t>O</w:t>
            </w:r>
            <w:r w:rsidR="006F2512" w:rsidRPr="00C44D4F">
              <w:rPr>
                <w:rFonts w:eastAsiaTheme="minorEastAsia"/>
                <w:bCs/>
                <w:sz w:val="24"/>
                <w:szCs w:val="24"/>
              </w:rPr>
              <w:t>6.1.2</w:t>
            </w:r>
          </w:p>
        </w:tc>
        <w:tc>
          <w:tcPr>
            <w:tcW w:w="10738" w:type="dxa"/>
          </w:tcPr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提供了《环境因素和危险源识别评价与控制程序》（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JXRT-CX01-2019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），对环境因素、危险源的识别、评价结果、控制手段等做出了规定。</w:t>
            </w:r>
          </w:p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现场提供了《环境因素识别与评价表》，从生命周期观点，三种时态、三种状态、八个方面来识别，识别了办公过程的废纸随意丢弃污染环境、复印机打印机废墨盒处置污染环境、生活垃圾的处置不当污染环境、废电池随意丢弃污染环境、吸烟污染空气等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,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识别基本齐全。</w:t>
            </w:r>
          </w:p>
          <w:p w:rsid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采用评分标准以打分的方式评价重要环境因素，评价出的重要环境因素为：潜在火灾、固废排放等。</w:t>
            </w:r>
          </w:p>
          <w:p w:rsidR="00C44D4F" w:rsidRPr="00194789" w:rsidRDefault="00C44D4F" w:rsidP="00C44D4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控制措施：固废分类存放、垃圾等由行政部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提供《职业安全健康管理体系危害辨识、风险评价、风险控制工作表》对部门开发、系统集成、办公活动各过程分别进行辨识，考虑了电脑辐射、触电、意外伤害、火灾等方面；工程部识别的各区域危险源有：电脑辐射、触电、意外伤害、火灾等。</w:t>
            </w:r>
          </w:p>
          <w:p w:rsid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不可接受风险识别有：火灾、触电等</w:t>
            </w:r>
          </w:p>
          <w:p w:rsidR="00C44D4F" w:rsidRPr="00194789" w:rsidRDefault="00C44D4F" w:rsidP="00C44D4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C44D4F" w:rsidRPr="00C44D4F" w:rsidRDefault="00C44D4F" w:rsidP="00C44D4F">
            <w:pPr>
              <w:snapToGrid w:val="0"/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</w:p>
          <w:p w:rsidR="00C22509" w:rsidRPr="00C44D4F" w:rsidRDefault="00C44D4F" w:rsidP="00C44D4F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危险源识别经核实基本齐全，重大危险源评价基本合理。</w:t>
            </w:r>
          </w:p>
        </w:tc>
        <w:tc>
          <w:tcPr>
            <w:tcW w:w="851" w:type="dxa"/>
          </w:tcPr>
          <w:p w:rsidR="00C22509" w:rsidRPr="00C44D4F" w:rsidRDefault="00C2250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F4106" w:rsidRPr="00C44D4F" w:rsidTr="00D22F6E">
        <w:trPr>
          <w:trHeight w:val="1243"/>
        </w:trPr>
        <w:tc>
          <w:tcPr>
            <w:tcW w:w="1809" w:type="dxa"/>
          </w:tcPr>
          <w:p w:rsidR="00FF4106" w:rsidRPr="00C44D4F" w:rsidRDefault="00FF4106" w:rsidP="006934A9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C44D4F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运行的策划和控制</w:t>
            </w:r>
          </w:p>
          <w:p w:rsidR="00FF4106" w:rsidRPr="00C44D4F" w:rsidRDefault="00FF4106" w:rsidP="006934A9">
            <w:pPr>
              <w:spacing w:line="360" w:lineRule="auto"/>
              <w:rPr>
                <w:rFonts w:eastAsiaTheme="minorEastAsia"/>
                <w:spacing w:val="-10"/>
                <w:sz w:val="24"/>
                <w:szCs w:val="24"/>
              </w:rPr>
            </w:pPr>
          </w:p>
        </w:tc>
        <w:tc>
          <w:tcPr>
            <w:tcW w:w="1311" w:type="dxa"/>
          </w:tcPr>
          <w:p w:rsidR="00FF4106" w:rsidRPr="00C44D4F" w:rsidRDefault="00FF4106" w:rsidP="006934A9">
            <w:pPr>
              <w:spacing w:line="360" w:lineRule="auto"/>
              <w:rPr>
                <w:rFonts w:eastAsiaTheme="minorEastAsia"/>
                <w:spacing w:val="-10"/>
                <w:sz w:val="24"/>
                <w:szCs w:val="24"/>
              </w:rPr>
            </w:pPr>
          </w:p>
          <w:p w:rsidR="00FF4106" w:rsidRPr="00C44D4F" w:rsidRDefault="00C44D4F" w:rsidP="006934A9">
            <w:pPr>
              <w:spacing w:line="360" w:lineRule="auto"/>
              <w:rPr>
                <w:rFonts w:eastAsiaTheme="minorEastAsia"/>
                <w:spacing w:val="-10"/>
                <w:sz w:val="24"/>
                <w:szCs w:val="24"/>
              </w:rPr>
            </w:pPr>
            <w:r>
              <w:rPr>
                <w:rFonts w:eastAsiaTheme="minorEastAsia"/>
                <w:spacing w:val="-10"/>
                <w:sz w:val="24"/>
                <w:szCs w:val="24"/>
              </w:rPr>
              <w:t>E</w:t>
            </w:r>
            <w:r w:rsidR="00FF4106" w:rsidRPr="00C44D4F">
              <w:rPr>
                <w:rFonts w:eastAsiaTheme="minorEastAsia"/>
                <w:spacing w:val="-10"/>
                <w:sz w:val="24"/>
                <w:szCs w:val="24"/>
              </w:rPr>
              <w:t>O8.1</w:t>
            </w:r>
          </w:p>
        </w:tc>
        <w:tc>
          <w:tcPr>
            <w:tcW w:w="10738" w:type="dxa"/>
          </w:tcPr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环境和职业健康安全管理体系方面：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编制与环境、安全体系运行控制有关的文件有《管理运行控制程序》、《节约用水管理规定》、《垃圾管理规定》、《消防控制程序》《电工操作规程》、《应急预案》等。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）废水管控：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密集架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智能型密集架、手动密集架、无轨密集架、电动密集架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，设计过程基本无废水、废气产生，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用友办公大楼管网集中处理。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）噪声管控：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办公过程、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安装调试过程基本无噪声。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）固废管控：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主要是办公固废的排放和安装调试时的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零部件边角料及包装物的排放。技术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部将墨盒硒鼓等办公危废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交行政部统一处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理一般是交供应商回收，其他固废及生活垃圾放在门口垃圾桶由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物业部门统一处理。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）能源资源管控：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开发设计过程、调试安装过程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和办公过程注意节水、节电，人走关闭设备和照明开关，现场未发现有漏水和浪费电能的现象。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）产品生命周期的环境管控：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公司从工艺设计时考虑了产品的环保性，研发及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调试安装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过程中，严格按照环保等管理制度实施，控制好材料的用量，避免浪费，尽量考虑生命周期终了时还可以回收再利用。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）潜在火灾管控：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公司配备了消防设施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（灭火器）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）安全防护：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主要是防止触电，研发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和办公时注意防护，加强日常检查和培训教育。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）能提供防止员工意外伤害加重的急救药品如创可贴、杀菌药水等。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）为主要长期员工上社保，查见交款证明。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）员工饮用水为纯净水通过饮水机饮用。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）现场运行控制：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密集架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(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智能型密集架、手动密集架、无轨密集架、电动密集架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)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现场查看各研发技术人员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石仕江、闵定伟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等）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坐姿正确避免过度疲劳。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研发、调试和办公区内现场电线布线合理，电线均处于完好状态，有接地及保护装置，漏电保护器状态良好。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C44D4F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FF4106" w:rsidRPr="00C44D4F" w:rsidRDefault="00C44D4F" w:rsidP="00C44D4F">
            <w:pPr>
              <w:tabs>
                <w:tab w:val="left" w:pos="6597"/>
              </w:tabs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C44D4F">
              <w:rPr>
                <w:rFonts w:eastAsiaTheme="minorEastAsia" w:hAnsiTheme="minorEastAsia" w:hint="eastAsia"/>
                <w:sz w:val="24"/>
                <w:szCs w:val="24"/>
              </w:rPr>
              <w:t>现场在环保和职业健康安全防护方面的控制管理基本有效。</w:t>
            </w:r>
          </w:p>
        </w:tc>
        <w:tc>
          <w:tcPr>
            <w:tcW w:w="851" w:type="dxa"/>
          </w:tcPr>
          <w:p w:rsidR="00FF4106" w:rsidRPr="00C44D4F" w:rsidRDefault="00FF410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44D4F" w:rsidRPr="00C44D4F" w:rsidTr="0088735C">
        <w:trPr>
          <w:trHeight w:val="1243"/>
        </w:trPr>
        <w:tc>
          <w:tcPr>
            <w:tcW w:w="1809" w:type="dxa"/>
            <w:vAlign w:val="center"/>
          </w:tcPr>
          <w:p w:rsidR="00C44D4F" w:rsidRPr="00EE52B1" w:rsidRDefault="00C44D4F" w:rsidP="003B6EC6">
            <w:pPr>
              <w:rPr>
                <w:rFonts w:eastAsiaTheme="minorEastAsia"/>
                <w:sz w:val="24"/>
                <w:szCs w:val="24"/>
              </w:rPr>
            </w:pPr>
            <w:r w:rsidRPr="00EE52B1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44D4F" w:rsidRPr="00EE52B1" w:rsidRDefault="00C44D4F" w:rsidP="003B6EC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bCs/>
                <w:sz w:val="24"/>
                <w:szCs w:val="24"/>
              </w:rPr>
              <w:t>E8.2</w:t>
            </w:r>
          </w:p>
          <w:p w:rsidR="00C44D4F" w:rsidRPr="00EE52B1" w:rsidRDefault="00C44D4F" w:rsidP="003B6EC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EE52B1">
              <w:rPr>
                <w:rFonts w:eastAsiaTheme="minorEastAsia"/>
                <w:sz w:val="24"/>
                <w:szCs w:val="24"/>
              </w:rPr>
              <w:t>O8.2</w:t>
            </w:r>
          </w:p>
          <w:p w:rsidR="00C44D4F" w:rsidRPr="00EE52B1" w:rsidRDefault="00C44D4F" w:rsidP="003B6EC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:rsidR="00C44D4F" w:rsidRPr="00EE52B1" w:rsidRDefault="00C44D4F" w:rsidP="003B6EC6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738" w:type="dxa"/>
          </w:tcPr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编制了《应急准备和响应控制程序》，确定的紧急情况有：火灾、触电等。建立了火灾、触电、疫情防控等应急预案，由行政部组织演练。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查看了触电应急预案演习记录，演练时间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27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 w:rsidRPr="00911DF7">
              <w:rPr>
                <w:rFonts w:eastAsiaTheme="minorEastAsia" w:hAnsiTheme="minorEastAsia" w:hint="eastAsia"/>
                <w:sz w:val="24"/>
                <w:szCs w:val="24"/>
              </w:rPr>
              <w:t>石仕义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参加人：行政部、销售部、生产部、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技术部、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品管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、采购部、财务部等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3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2020.6.12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日火灾应急预案演习记录，情况同上。</w:t>
            </w:r>
          </w:p>
          <w:p w:rsidR="00C44D4F" w:rsidRPr="00CE7AFF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针对近期出现的新型冠状病毒引发的肺炎疫情，公司制定了疫情防控预案，公司有进行返岗人员健康报备管理、每日人员出入登记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量体温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戴口罩、是否发热、等，严格按政府和预案的要求执行。</w:t>
            </w:r>
          </w:p>
          <w:p w:rsidR="00C44D4F" w:rsidRPr="00EE52B1" w:rsidRDefault="00C44D4F" w:rsidP="003B6EC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CE7AFF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:rsidR="00C44D4F" w:rsidRPr="00C44D4F" w:rsidRDefault="00C44D4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22509" w:rsidRPr="00C44D4F" w:rsidRDefault="001012F4">
      <w:pPr>
        <w:rPr>
          <w:rFonts w:eastAsiaTheme="minorEastAsia"/>
        </w:rPr>
      </w:pPr>
      <w:r w:rsidRPr="00C44D4F">
        <w:rPr>
          <w:rFonts w:eastAsiaTheme="minorEastAsia"/>
        </w:rPr>
        <w:lastRenderedPageBreak/>
        <w:ptab w:relativeTo="margin" w:alignment="center" w:leader="none"/>
      </w:r>
    </w:p>
    <w:p w:rsidR="00C22509" w:rsidRPr="00C44D4F" w:rsidRDefault="00C22509">
      <w:pPr>
        <w:rPr>
          <w:rFonts w:eastAsiaTheme="minorEastAsia"/>
        </w:rPr>
      </w:pPr>
    </w:p>
    <w:p w:rsidR="00C22509" w:rsidRPr="00C44D4F" w:rsidRDefault="00C22509">
      <w:pPr>
        <w:rPr>
          <w:rFonts w:eastAsiaTheme="minorEastAsia"/>
        </w:rPr>
      </w:pPr>
    </w:p>
    <w:p w:rsidR="00C22509" w:rsidRPr="00C44D4F" w:rsidRDefault="001012F4">
      <w:pPr>
        <w:pStyle w:val="a5"/>
        <w:rPr>
          <w:rFonts w:eastAsiaTheme="minorEastAsia"/>
        </w:rPr>
      </w:pPr>
      <w:r w:rsidRPr="00C44D4F">
        <w:rPr>
          <w:rFonts w:eastAsiaTheme="minorEastAsia" w:hAnsiTheme="minorEastAsia"/>
        </w:rPr>
        <w:t>说明：不符合标注</w:t>
      </w:r>
      <w:r w:rsidRPr="00C44D4F">
        <w:rPr>
          <w:rFonts w:eastAsiaTheme="minorEastAsia"/>
        </w:rPr>
        <w:t>N</w:t>
      </w:r>
    </w:p>
    <w:sectPr w:rsidR="00C22509" w:rsidRPr="00C44D4F" w:rsidSect="00C2250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579" w:rsidRDefault="00B95579" w:rsidP="00C22509">
      <w:r>
        <w:separator/>
      </w:r>
    </w:p>
  </w:endnote>
  <w:endnote w:type="continuationSeparator" w:id="1">
    <w:p w:rsidR="00B95579" w:rsidRDefault="00B95579" w:rsidP="00C2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12BD7" w:rsidRDefault="000521D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12BD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4D4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12BD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12BD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4D4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2BD7" w:rsidRDefault="00612B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579" w:rsidRDefault="00B95579" w:rsidP="00C22509">
      <w:r>
        <w:separator/>
      </w:r>
    </w:p>
  </w:footnote>
  <w:footnote w:type="continuationSeparator" w:id="1">
    <w:p w:rsidR="00B95579" w:rsidRDefault="00B95579" w:rsidP="00C22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D7" w:rsidRDefault="00612BD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12BD7" w:rsidRDefault="000521D9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12BD7" w:rsidRDefault="00612BD7">
                <w:r>
                  <w:rPr>
                    <w:rFonts w:hint="eastAsia"/>
                    <w:sz w:val="18"/>
                    <w:szCs w:val="18"/>
                  </w:rPr>
                  <w:t xml:space="preserve">ISC-B-II-10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2BD7">
      <w:rPr>
        <w:rStyle w:val="CharChar1"/>
        <w:rFonts w:hint="default"/>
        <w:w w:val="90"/>
      </w:rPr>
      <w:t>Beijing International Standard united Certification Co.,Ltd.</w:t>
    </w:r>
  </w:p>
  <w:p w:rsidR="00612BD7" w:rsidRDefault="00612B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C90D8D38"/>
    <w:multiLevelType w:val="multilevel"/>
    <w:tmpl w:val="94F4E7D6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94545"/>
    <w:multiLevelType w:val="multilevel"/>
    <w:tmpl w:val="0DA94545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2">
    <w:nsid w:val="10F41215"/>
    <w:multiLevelType w:val="multilevel"/>
    <w:tmpl w:val="10F41215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B41088"/>
    <w:multiLevelType w:val="multilevel"/>
    <w:tmpl w:val="1AB410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EFD5650"/>
    <w:multiLevelType w:val="multilevel"/>
    <w:tmpl w:val="2EFD5650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74B2959"/>
    <w:multiLevelType w:val="multilevel"/>
    <w:tmpl w:val="574B2959"/>
    <w:lvl w:ilvl="0">
      <w:start w:val="1"/>
      <w:numFmt w:val="chineseCountingThousand"/>
      <w:lvlText w:val="第%1章"/>
      <w:lvlJc w:val="left"/>
      <w:pPr>
        <w:tabs>
          <w:tab w:val="num" w:pos="1505"/>
        </w:tabs>
        <w:ind w:left="1505" w:hanging="425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567"/>
      </w:pPr>
      <w:rPr>
        <w:rFonts w:ascii="黑体" w:eastAsia="黑体" w:hAnsi="宋体" w:hint="eastAsia"/>
        <w:b w:val="0"/>
        <w:i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tabs>
          <w:tab w:val="num" w:pos="1069"/>
        </w:tabs>
        <w:ind w:left="1069" w:hanging="785"/>
      </w:pPr>
      <w:rPr>
        <w:rFonts w:ascii="黑体" w:eastAsia="黑体" w:hAnsi="Times New Roman" w:cs="Times New Roman" w:hint="eastAsia"/>
        <w:b w:val="0"/>
        <w:i w:val="0"/>
        <w:sz w:val="32"/>
        <w:szCs w:val="32"/>
      </w:rPr>
    </w:lvl>
    <w:lvl w:ilvl="3">
      <w:start w:val="1"/>
      <w:numFmt w:val="decimal"/>
      <w:isLgl/>
      <w:suff w:val="space"/>
      <w:lvlText w:val="%1.%2.%3.%4."/>
      <w:lvlJc w:val="left"/>
      <w:pPr>
        <w:ind w:left="1247" w:hanging="850"/>
      </w:pPr>
    </w:lvl>
    <w:lvl w:ilvl="4">
      <w:start w:val="1"/>
      <w:numFmt w:val="decimal"/>
      <w:isLgl/>
      <w:suff w:val="space"/>
      <w:lvlText w:val="4.1.1.%4.%5."/>
      <w:lvlJc w:val="left"/>
      <w:pPr>
        <w:ind w:left="164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  <w:b/>
        <w:i w:val="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2087"/>
    <w:rsid w:val="00004322"/>
    <w:rsid w:val="000066B8"/>
    <w:rsid w:val="00014BB0"/>
    <w:rsid w:val="000208FF"/>
    <w:rsid w:val="0002108F"/>
    <w:rsid w:val="000214B6"/>
    <w:rsid w:val="00022B3B"/>
    <w:rsid w:val="0002734A"/>
    <w:rsid w:val="0003373A"/>
    <w:rsid w:val="00047171"/>
    <w:rsid w:val="0004784D"/>
    <w:rsid w:val="0005199E"/>
    <w:rsid w:val="000521D9"/>
    <w:rsid w:val="00053144"/>
    <w:rsid w:val="0005467A"/>
    <w:rsid w:val="00054FDA"/>
    <w:rsid w:val="0005697E"/>
    <w:rsid w:val="000604E9"/>
    <w:rsid w:val="00064733"/>
    <w:rsid w:val="00065DBA"/>
    <w:rsid w:val="00067211"/>
    <w:rsid w:val="0007028F"/>
    <w:rsid w:val="00070C74"/>
    <w:rsid w:val="00077664"/>
    <w:rsid w:val="00083DA5"/>
    <w:rsid w:val="000847C2"/>
    <w:rsid w:val="000849D2"/>
    <w:rsid w:val="000865BA"/>
    <w:rsid w:val="00093496"/>
    <w:rsid w:val="000A2B99"/>
    <w:rsid w:val="000A5E44"/>
    <w:rsid w:val="000B1394"/>
    <w:rsid w:val="000B2395"/>
    <w:rsid w:val="000B2962"/>
    <w:rsid w:val="000B40BD"/>
    <w:rsid w:val="000C0680"/>
    <w:rsid w:val="000C123B"/>
    <w:rsid w:val="000C2F50"/>
    <w:rsid w:val="000D108C"/>
    <w:rsid w:val="000D1AAF"/>
    <w:rsid w:val="000D48BC"/>
    <w:rsid w:val="000D5E06"/>
    <w:rsid w:val="000E14F8"/>
    <w:rsid w:val="000E2B69"/>
    <w:rsid w:val="000E4607"/>
    <w:rsid w:val="000E79D8"/>
    <w:rsid w:val="000F2339"/>
    <w:rsid w:val="000F2FA7"/>
    <w:rsid w:val="000F35F1"/>
    <w:rsid w:val="000F7C31"/>
    <w:rsid w:val="001012F4"/>
    <w:rsid w:val="001037D5"/>
    <w:rsid w:val="00107877"/>
    <w:rsid w:val="001105B5"/>
    <w:rsid w:val="00112DDC"/>
    <w:rsid w:val="00122E35"/>
    <w:rsid w:val="00124422"/>
    <w:rsid w:val="00124B12"/>
    <w:rsid w:val="00130839"/>
    <w:rsid w:val="001324E4"/>
    <w:rsid w:val="00134C43"/>
    <w:rsid w:val="001421D7"/>
    <w:rsid w:val="00152F43"/>
    <w:rsid w:val="00155DE4"/>
    <w:rsid w:val="00160355"/>
    <w:rsid w:val="00160590"/>
    <w:rsid w:val="00160D1B"/>
    <w:rsid w:val="001657FA"/>
    <w:rsid w:val="00167262"/>
    <w:rsid w:val="001730FA"/>
    <w:rsid w:val="00173465"/>
    <w:rsid w:val="001741F3"/>
    <w:rsid w:val="00174B4C"/>
    <w:rsid w:val="00176F07"/>
    <w:rsid w:val="001816F4"/>
    <w:rsid w:val="00184AC7"/>
    <w:rsid w:val="001858CC"/>
    <w:rsid w:val="00191CB7"/>
    <w:rsid w:val="001953AA"/>
    <w:rsid w:val="001965EC"/>
    <w:rsid w:val="001A1569"/>
    <w:rsid w:val="001A2C67"/>
    <w:rsid w:val="001A2D7F"/>
    <w:rsid w:val="001A3DF8"/>
    <w:rsid w:val="001A4705"/>
    <w:rsid w:val="001A77A1"/>
    <w:rsid w:val="001B0A84"/>
    <w:rsid w:val="001B52CD"/>
    <w:rsid w:val="001C3093"/>
    <w:rsid w:val="001C414C"/>
    <w:rsid w:val="001D2C44"/>
    <w:rsid w:val="001D3DCD"/>
    <w:rsid w:val="001D6247"/>
    <w:rsid w:val="001E2378"/>
    <w:rsid w:val="001E421F"/>
    <w:rsid w:val="001E47B6"/>
    <w:rsid w:val="001F5CB1"/>
    <w:rsid w:val="0020346E"/>
    <w:rsid w:val="002037A4"/>
    <w:rsid w:val="00210A0C"/>
    <w:rsid w:val="00212CA6"/>
    <w:rsid w:val="00216789"/>
    <w:rsid w:val="002178DD"/>
    <w:rsid w:val="00221981"/>
    <w:rsid w:val="00222532"/>
    <w:rsid w:val="00224159"/>
    <w:rsid w:val="00224FEC"/>
    <w:rsid w:val="00226265"/>
    <w:rsid w:val="002276C2"/>
    <w:rsid w:val="00230A99"/>
    <w:rsid w:val="00232D91"/>
    <w:rsid w:val="00237445"/>
    <w:rsid w:val="0024106A"/>
    <w:rsid w:val="0024338C"/>
    <w:rsid w:val="00243C4B"/>
    <w:rsid w:val="00244D31"/>
    <w:rsid w:val="00245C6E"/>
    <w:rsid w:val="00250259"/>
    <w:rsid w:val="00252A58"/>
    <w:rsid w:val="00260187"/>
    <w:rsid w:val="002603B9"/>
    <w:rsid w:val="00261E31"/>
    <w:rsid w:val="00262726"/>
    <w:rsid w:val="00266D1E"/>
    <w:rsid w:val="0027207F"/>
    <w:rsid w:val="0027380C"/>
    <w:rsid w:val="00275F63"/>
    <w:rsid w:val="0027770D"/>
    <w:rsid w:val="002906B5"/>
    <w:rsid w:val="00291E49"/>
    <w:rsid w:val="0029267C"/>
    <w:rsid w:val="0029508B"/>
    <w:rsid w:val="002962A3"/>
    <w:rsid w:val="002A0E6E"/>
    <w:rsid w:val="002A16D5"/>
    <w:rsid w:val="002B06F9"/>
    <w:rsid w:val="002B3D51"/>
    <w:rsid w:val="002B5942"/>
    <w:rsid w:val="002B698C"/>
    <w:rsid w:val="002C1094"/>
    <w:rsid w:val="002C221B"/>
    <w:rsid w:val="002C2997"/>
    <w:rsid w:val="002C3E0D"/>
    <w:rsid w:val="002D0420"/>
    <w:rsid w:val="002D0595"/>
    <w:rsid w:val="002D2644"/>
    <w:rsid w:val="002D41FB"/>
    <w:rsid w:val="002E1E1D"/>
    <w:rsid w:val="002E449B"/>
    <w:rsid w:val="00300103"/>
    <w:rsid w:val="00303CA9"/>
    <w:rsid w:val="00305AF4"/>
    <w:rsid w:val="00305CB7"/>
    <w:rsid w:val="00305F8E"/>
    <w:rsid w:val="003063F2"/>
    <w:rsid w:val="0031010A"/>
    <w:rsid w:val="003139A6"/>
    <w:rsid w:val="00324FCB"/>
    <w:rsid w:val="00326B50"/>
    <w:rsid w:val="003301B9"/>
    <w:rsid w:val="00330719"/>
    <w:rsid w:val="00332ECE"/>
    <w:rsid w:val="00333BB0"/>
    <w:rsid w:val="00334C7D"/>
    <w:rsid w:val="00335991"/>
    <w:rsid w:val="00335EEB"/>
    <w:rsid w:val="003364FC"/>
    <w:rsid w:val="00337679"/>
    <w:rsid w:val="00337922"/>
    <w:rsid w:val="00337B1A"/>
    <w:rsid w:val="00340867"/>
    <w:rsid w:val="00341CCD"/>
    <w:rsid w:val="003424C9"/>
    <w:rsid w:val="00342857"/>
    <w:rsid w:val="00343742"/>
    <w:rsid w:val="00347038"/>
    <w:rsid w:val="003471D1"/>
    <w:rsid w:val="00356840"/>
    <w:rsid w:val="00361028"/>
    <w:rsid w:val="00362325"/>
    <w:rsid w:val="003627B6"/>
    <w:rsid w:val="00362BE6"/>
    <w:rsid w:val="00362ED9"/>
    <w:rsid w:val="003666D8"/>
    <w:rsid w:val="003708D5"/>
    <w:rsid w:val="003712C7"/>
    <w:rsid w:val="003715B9"/>
    <w:rsid w:val="0037306C"/>
    <w:rsid w:val="00374046"/>
    <w:rsid w:val="00376A47"/>
    <w:rsid w:val="003803F1"/>
    <w:rsid w:val="00380837"/>
    <w:rsid w:val="00381010"/>
    <w:rsid w:val="00382136"/>
    <w:rsid w:val="003836CA"/>
    <w:rsid w:val="0038425B"/>
    <w:rsid w:val="003849C2"/>
    <w:rsid w:val="00386A98"/>
    <w:rsid w:val="003872BE"/>
    <w:rsid w:val="003960CD"/>
    <w:rsid w:val="00396B29"/>
    <w:rsid w:val="003A0A39"/>
    <w:rsid w:val="003A20B3"/>
    <w:rsid w:val="003A432E"/>
    <w:rsid w:val="003A5110"/>
    <w:rsid w:val="003A7DC8"/>
    <w:rsid w:val="003B10EF"/>
    <w:rsid w:val="003B2BCD"/>
    <w:rsid w:val="003B577D"/>
    <w:rsid w:val="003B69F5"/>
    <w:rsid w:val="003C524D"/>
    <w:rsid w:val="003C7E59"/>
    <w:rsid w:val="003C7F1E"/>
    <w:rsid w:val="003D133B"/>
    <w:rsid w:val="003D2DF6"/>
    <w:rsid w:val="003D3B9E"/>
    <w:rsid w:val="003D5AFB"/>
    <w:rsid w:val="003D6BE3"/>
    <w:rsid w:val="003E64D0"/>
    <w:rsid w:val="003F20A5"/>
    <w:rsid w:val="003F3796"/>
    <w:rsid w:val="003F5ED7"/>
    <w:rsid w:val="004009D6"/>
    <w:rsid w:val="004012B5"/>
    <w:rsid w:val="00403752"/>
    <w:rsid w:val="00405D5F"/>
    <w:rsid w:val="004069DE"/>
    <w:rsid w:val="00407008"/>
    <w:rsid w:val="00410914"/>
    <w:rsid w:val="004116F7"/>
    <w:rsid w:val="00422E32"/>
    <w:rsid w:val="00430003"/>
    <w:rsid w:val="004304FA"/>
    <w:rsid w:val="00431734"/>
    <w:rsid w:val="0043494E"/>
    <w:rsid w:val="004375F1"/>
    <w:rsid w:val="0043786F"/>
    <w:rsid w:val="004378D6"/>
    <w:rsid w:val="00441C5F"/>
    <w:rsid w:val="00451D10"/>
    <w:rsid w:val="00455313"/>
    <w:rsid w:val="00465FE1"/>
    <w:rsid w:val="00467E3D"/>
    <w:rsid w:val="004724F4"/>
    <w:rsid w:val="0047779F"/>
    <w:rsid w:val="00482E44"/>
    <w:rsid w:val="00485574"/>
    <w:rsid w:val="00490AA2"/>
    <w:rsid w:val="00491735"/>
    <w:rsid w:val="0049280D"/>
    <w:rsid w:val="0049365D"/>
    <w:rsid w:val="004943B5"/>
    <w:rsid w:val="0049488A"/>
    <w:rsid w:val="00495688"/>
    <w:rsid w:val="004A39E1"/>
    <w:rsid w:val="004A4776"/>
    <w:rsid w:val="004B0102"/>
    <w:rsid w:val="004B11D8"/>
    <w:rsid w:val="004B217F"/>
    <w:rsid w:val="004B28AC"/>
    <w:rsid w:val="004C027B"/>
    <w:rsid w:val="004C07FE"/>
    <w:rsid w:val="004C2EEF"/>
    <w:rsid w:val="004C4609"/>
    <w:rsid w:val="004C695C"/>
    <w:rsid w:val="004D0624"/>
    <w:rsid w:val="004D1394"/>
    <w:rsid w:val="004E039B"/>
    <w:rsid w:val="004E0DBF"/>
    <w:rsid w:val="004E56D3"/>
    <w:rsid w:val="004E5D23"/>
    <w:rsid w:val="004E7414"/>
    <w:rsid w:val="004F008A"/>
    <w:rsid w:val="004F11C7"/>
    <w:rsid w:val="004F12EB"/>
    <w:rsid w:val="004F1C93"/>
    <w:rsid w:val="004F4590"/>
    <w:rsid w:val="004F5EA0"/>
    <w:rsid w:val="005023C9"/>
    <w:rsid w:val="00505D04"/>
    <w:rsid w:val="00507BA0"/>
    <w:rsid w:val="005126CB"/>
    <w:rsid w:val="00513583"/>
    <w:rsid w:val="005137A3"/>
    <w:rsid w:val="00517783"/>
    <w:rsid w:val="00521CF0"/>
    <w:rsid w:val="00526991"/>
    <w:rsid w:val="00526C3C"/>
    <w:rsid w:val="00527195"/>
    <w:rsid w:val="005276EC"/>
    <w:rsid w:val="00527995"/>
    <w:rsid w:val="00527E23"/>
    <w:rsid w:val="00527ECD"/>
    <w:rsid w:val="00536930"/>
    <w:rsid w:val="00543CA4"/>
    <w:rsid w:val="0054446E"/>
    <w:rsid w:val="0054776F"/>
    <w:rsid w:val="00556EBF"/>
    <w:rsid w:val="00564E53"/>
    <w:rsid w:val="00564FC3"/>
    <w:rsid w:val="00574EE4"/>
    <w:rsid w:val="005770D7"/>
    <w:rsid w:val="00577D5E"/>
    <w:rsid w:val="00583277"/>
    <w:rsid w:val="00583C54"/>
    <w:rsid w:val="005866E2"/>
    <w:rsid w:val="00587F11"/>
    <w:rsid w:val="0059097E"/>
    <w:rsid w:val="005919A2"/>
    <w:rsid w:val="00592180"/>
    <w:rsid w:val="00592C3E"/>
    <w:rsid w:val="005935CA"/>
    <w:rsid w:val="00594BD7"/>
    <w:rsid w:val="00595C05"/>
    <w:rsid w:val="00595C56"/>
    <w:rsid w:val="005A000F"/>
    <w:rsid w:val="005A5A31"/>
    <w:rsid w:val="005B01D8"/>
    <w:rsid w:val="005B1C3E"/>
    <w:rsid w:val="005B6888"/>
    <w:rsid w:val="005C0BC9"/>
    <w:rsid w:val="005C27D9"/>
    <w:rsid w:val="005D01FC"/>
    <w:rsid w:val="005D4C40"/>
    <w:rsid w:val="005D657C"/>
    <w:rsid w:val="005E1E25"/>
    <w:rsid w:val="005E3B26"/>
    <w:rsid w:val="005E794C"/>
    <w:rsid w:val="005F0E92"/>
    <w:rsid w:val="005F3F2C"/>
    <w:rsid w:val="005F4A09"/>
    <w:rsid w:val="005F4CDA"/>
    <w:rsid w:val="005F685F"/>
    <w:rsid w:val="005F6C65"/>
    <w:rsid w:val="005F7148"/>
    <w:rsid w:val="005F7D4A"/>
    <w:rsid w:val="00600F02"/>
    <w:rsid w:val="0060444D"/>
    <w:rsid w:val="006052B6"/>
    <w:rsid w:val="00612015"/>
    <w:rsid w:val="00612BD7"/>
    <w:rsid w:val="006148DF"/>
    <w:rsid w:val="0061746B"/>
    <w:rsid w:val="006233A5"/>
    <w:rsid w:val="00623FE9"/>
    <w:rsid w:val="006302F5"/>
    <w:rsid w:val="00631206"/>
    <w:rsid w:val="006379CB"/>
    <w:rsid w:val="00642663"/>
    <w:rsid w:val="006426A9"/>
    <w:rsid w:val="00642776"/>
    <w:rsid w:val="00644FE2"/>
    <w:rsid w:val="006457AD"/>
    <w:rsid w:val="00645FB8"/>
    <w:rsid w:val="00647894"/>
    <w:rsid w:val="00651986"/>
    <w:rsid w:val="006545E8"/>
    <w:rsid w:val="00655FA1"/>
    <w:rsid w:val="00665980"/>
    <w:rsid w:val="00671A9B"/>
    <w:rsid w:val="00673927"/>
    <w:rsid w:val="0067640C"/>
    <w:rsid w:val="00686B64"/>
    <w:rsid w:val="0069039B"/>
    <w:rsid w:val="00692405"/>
    <w:rsid w:val="006946D4"/>
    <w:rsid w:val="00695256"/>
    <w:rsid w:val="00695303"/>
    <w:rsid w:val="00695570"/>
    <w:rsid w:val="00695E04"/>
    <w:rsid w:val="00696AF1"/>
    <w:rsid w:val="006A0FEF"/>
    <w:rsid w:val="006A25CF"/>
    <w:rsid w:val="006A3B31"/>
    <w:rsid w:val="006A57FE"/>
    <w:rsid w:val="006A68F3"/>
    <w:rsid w:val="006A71E1"/>
    <w:rsid w:val="006B4116"/>
    <w:rsid w:val="006B4127"/>
    <w:rsid w:val="006B43DD"/>
    <w:rsid w:val="006B6F42"/>
    <w:rsid w:val="006B753E"/>
    <w:rsid w:val="006C05AD"/>
    <w:rsid w:val="006C0D0C"/>
    <w:rsid w:val="006C12CF"/>
    <w:rsid w:val="006C1E32"/>
    <w:rsid w:val="006C35B3"/>
    <w:rsid w:val="006C3EDA"/>
    <w:rsid w:val="006C40B9"/>
    <w:rsid w:val="006C4DC3"/>
    <w:rsid w:val="006C7301"/>
    <w:rsid w:val="006D01D3"/>
    <w:rsid w:val="006D3922"/>
    <w:rsid w:val="006D5592"/>
    <w:rsid w:val="006D6514"/>
    <w:rsid w:val="006D75E6"/>
    <w:rsid w:val="006E678B"/>
    <w:rsid w:val="006E798E"/>
    <w:rsid w:val="006F2512"/>
    <w:rsid w:val="006F6902"/>
    <w:rsid w:val="0070133F"/>
    <w:rsid w:val="00703579"/>
    <w:rsid w:val="00703EF0"/>
    <w:rsid w:val="0070495A"/>
    <w:rsid w:val="00704E02"/>
    <w:rsid w:val="00711F4C"/>
    <w:rsid w:val="0071239D"/>
    <w:rsid w:val="00716C45"/>
    <w:rsid w:val="007170AA"/>
    <w:rsid w:val="00721DE7"/>
    <w:rsid w:val="00722762"/>
    <w:rsid w:val="0072289B"/>
    <w:rsid w:val="00722A8E"/>
    <w:rsid w:val="0072354E"/>
    <w:rsid w:val="00725B27"/>
    <w:rsid w:val="00726A53"/>
    <w:rsid w:val="00727647"/>
    <w:rsid w:val="00727FEE"/>
    <w:rsid w:val="00730B8F"/>
    <w:rsid w:val="00732A46"/>
    <w:rsid w:val="00732B66"/>
    <w:rsid w:val="00734C50"/>
    <w:rsid w:val="00737195"/>
    <w:rsid w:val="007406DE"/>
    <w:rsid w:val="007415BA"/>
    <w:rsid w:val="00742AEF"/>
    <w:rsid w:val="00743A75"/>
    <w:rsid w:val="00743E79"/>
    <w:rsid w:val="00747CEC"/>
    <w:rsid w:val="00750187"/>
    <w:rsid w:val="00751C37"/>
    <w:rsid w:val="00753327"/>
    <w:rsid w:val="00753493"/>
    <w:rsid w:val="00754FF4"/>
    <w:rsid w:val="00762DD4"/>
    <w:rsid w:val="0076572D"/>
    <w:rsid w:val="00774111"/>
    <w:rsid w:val="0077458C"/>
    <w:rsid w:val="007757F3"/>
    <w:rsid w:val="007770CF"/>
    <w:rsid w:val="007815DC"/>
    <w:rsid w:val="00782659"/>
    <w:rsid w:val="0078511E"/>
    <w:rsid w:val="007924AF"/>
    <w:rsid w:val="007946BA"/>
    <w:rsid w:val="007946CE"/>
    <w:rsid w:val="007A256F"/>
    <w:rsid w:val="007A3326"/>
    <w:rsid w:val="007A47FB"/>
    <w:rsid w:val="007A69EB"/>
    <w:rsid w:val="007B106B"/>
    <w:rsid w:val="007B275D"/>
    <w:rsid w:val="007C05E4"/>
    <w:rsid w:val="007C19DA"/>
    <w:rsid w:val="007D0F5A"/>
    <w:rsid w:val="007D29E0"/>
    <w:rsid w:val="007E2A0C"/>
    <w:rsid w:val="007E5F47"/>
    <w:rsid w:val="007E6AEB"/>
    <w:rsid w:val="007F01EC"/>
    <w:rsid w:val="007F0D4C"/>
    <w:rsid w:val="007F14B4"/>
    <w:rsid w:val="007F5657"/>
    <w:rsid w:val="007F7DF2"/>
    <w:rsid w:val="008027A4"/>
    <w:rsid w:val="008027E6"/>
    <w:rsid w:val="008062F9"/>
    <w:rsid w:val="008079FA"/>
    <w:rsid w:val="00816978"/>
    <w:rsid w:val="00816CCC"/>
    <w:rsid w:val="00823493"/>
    <w:rsid w:val="00825220"/>
    <w:rsid w:val="00836CAA"/>
    <w:rsid w:val="00836FD5"/>
    <w:rsid w:val="00837894"/>
    <w:rsid w:val="008415E2"/>
    <w:rsid w:val="0084486D"/>
    <w:rsid w:val="00847E2C"/>
    <w:rsid w:val="00851668"/>
    <w:rsid w:val="00851943"/>
    <w:rsid w:val="00852183"/>
    <w:rsid w:val="0086271A"/>
    <w:rsid w:val="00864902"/>
    <w:rsid w:val="00865975"/>
    <w:rsid w:val="00865A01"/>
    <w:rsid w:val="00865D15"/>
    <w:rsid w:val="00867B86"/>
    <w:rsid w:val="00874367"/>
    <w:rsid w:val="00876CBF"/>
    <w:rsid w:val="008771BC"/>
    <w:rsid w:val="00877B85"/>
    <w:rsid w:val="00877E5F"/>
    <w:rsid w:val="00880DF0"/>
    <w:rsid w:val="00890B77"/>
    <w:rsid w:val="008951DF"/>
    <w:rsid w:val="00896908"/>
    <w:rsid w:val="008973EE"/>
    <w:rsid w:val="008A4EB4"/>
    <w:rsid w:val="008A7B29"/>
    <w:rsid w:val="008B21EA"/>
    <w:rsid w:val="008B30A0"/>
    <w:rsid w:val="008B5618"/>
    <w:rsid w:val="008C4A89"/>
    <w:rsid w:val="008C68D6"/>
    <w:rsid w:val="008D0060"/>
    <w:rsid w:val="008D089D"/>
    <w:rsid w:val="008D2567"/>
    <w:rsid w:val="008D6FBF"/>
    <w:rsid w:val="008E6790"/>
    <w:rsid w:val="008F0125"/>
    <w:rsid w:val="008F0B04"/>
    <w:rsid w:val="008F5CCC"/>
    <w:rsid w:val="008F63F1"/>
    <w:rsid w:val="008F7462"/>
    <w:rsid w:val="0090240C"/>
    <w:rsid w:val="0090649C"/>
    <w:rsid w:val="009078E2"/>
    <w:rsid w:val="0091491F"/>
    <w:rsid w:val="00922456"/>
    <w:rsid w:val="00922B85"/>
    <w:rsid w:val="00930694"/>
    <w:rsid w:val="0093521F"/>
    <w:rsid w:val="009375DB"/>
    <w:rsid w:val="0094040B"/>
    <w:rsid w:val="00941489"/>
    <w:rsid w:val="00945677"/>
    <w:rsid w:val="00962F78"/>
    <w:rsid w:val="00964A29"/>
    <w:rsid w:val="00965048"/>
    <w:rsid w:val="0096609F"/>
    <w:rsid w:val="00967D42"/>
    <w:rsid w:val="00971139"/>
    <w:rsid w:val="00971600"/>
    <w:rsid w:val="0097729B"/>
    <w:rsid w:val="00994E87"/>
    <w:rsid w:val="009973B4"/>
    <w:rsid w:val="009A30D3"/>
    <w:rsid w:val="009A3DD9"/>
    <w:rsid w:val="009A4562"/>
    <w:rsid w:val="009A4A4C"/>
    <w:rsid w:val="009B167A"/>
    <w:rsid w:val="009B3422"/>
    <w:rsid w:val="009B3DDD"/>
    <w:rsid w:val="009B49F8"/>
    <w:rsid w:val="009B6639"/>
    <w:rsid w:val="009B6CB4"/>
    <w:rsid w:val="009B7388"/>
    <w:rsid w:val="009C3819"/>
    <w:rsid w:val="009C720E"/>
    <w:rsid w:val="009C7D3D"/>
    <w:rsid w:val="009D1594"/>
    <w:rsid w:val="009D3BA2"/>
    <w:rsid w:val="009D3D3D"/>
    <w:rsid w:val="009E02D5"/>
    <w:rsid w:val="009E1321"/>
    <w:rsid w:val="009E30DA"/>
    <w:rsid w:val="009E4516"/>
    <w:rsid w:val="009E5FFB"/>
    <w:rsid w:val="009F7EED"/>
    <w:rsid w:val="00A01F2A"/>
    <w:rsid w:val="00A10AD9"/>
    <w:rsid w:val="00A138EC"/>
    <w:rsid w:val="00A17347"/>
    <w:rsid w:val="00A22C54"/>
    <w:rsid w:val="00A27826"/>
    <w:rsid w:val="00A303E7"/>
    <w:rsid w:val="00A3050C"/>
    <w:rsid w:val="00A30CA3"/>
    <w:rsid w:val="00A321CB"/>
    <w:rsid w:val="00A35FBB"/>
    <w:rsid w:val="00A41863"/>
    <w:rsid w:val="00A42FB7"/>
    <w:rsid w:val="00A538CD"/>
    <w:rsid w:val="00A54E47"/>
    <w:rsid w:val="00A562B1"/>
    <w:rsid w:val="00A62FD9"/>
    <w:rsid w:val="00A633B0"/>
    <w:rsid w:val="00A661B3"/>
    <w:rsid w:val="00A709C1"/>
    <w:rsid w:val="00A7189D"/>
    <w:rsid w:val="00A741A1"/>
    <w:rsid w:val="00A7539C"/>
    <w:rsid w:val="00A75ECA"/>
    <w:rsid w:val="00A76AE1"/>
    <w:rsid w:val="00A7787E"/>
    <w:rsid w:val="00A77C65"/>
    <w:rsid w:val="00A801DE"/>
    <w:rsid w:val="00A80B3F"/>
    <w:rsid w:val="00A8159C"/>
    <w:rsid w:val="00A82494"/>
    <w:rsid w:val="00A83562"/>
    <w:rsid w:val="00A86A9D"/>
    <w:rsid w:val="00A90A22"/>
    <w:rsid w:val="00A9118B"/>
    <w:rsid w:val="00A918ED"/>
    <w:rsid w:val="00A97315"/>
    <w:rsid w:val="00AA2E7E"/>
    <w:rsid w:val="00AB1BBD"/>
    <w:rsid w:val="00AB1BCB"/>
    <w:rsid w:val="00AB41FC"/>
    <w:rsid w:val="00AB4846"/>
    <w:rsid w:val="00AB7D2F"/>
    <w:rsid w:val="00AC0AA8"/>
    <w:rsid w:val="00AC0FC6"/>
    <w:rsid w:val="00AD14B8"/>
    <w:rsid w:val="00AD34C8"/>
    <w:rsid w:val="00AE0AD3"/>
    <w:rsid w:val="00AE250B"/>
    <w:rsid w:val="00AE50ED"/>
    <w:rsid w:val="00AF0324"/>
    <w:rsid w:val="00AF0A65"/>
    <w:rsid w:val="00AF0AAB"/>
    <w:rsid w:val="00AF3544"/>
    <w:rsid w:val="00B00556"/>
    <w:rsid w:val="00B04098"/>
    <w:rsid w:val="00B04731"/>
    <w:rsid w:val="00B0685B"/>
    <w:rsid w:val="00B13BC7"/>
    <w:rsid w:val="00B14883"/>
    <w:rsid w:val="00B1616F"/>
    <w:rsid w:val="00B17492"/>
    <w:rsid w:val="00B20341"/>
    <w:rsid w:val="00B21D45"/>
    <w:rsid w:val="00B24CAF"/>
    <w:rsid w:val="00B24FFC"/>
    <w:rsid w:val="00B25B6B"/>
    <w:rsid w:val="00B27D84"/>
    <w:rsid w:val="00B33301"/>
    <w:rsid w:val="00B35FC9"/>
    <w:rsid w:val="00B36D3E"/>
    <w:rsid w:val="00B40603"/>
    <w:rsid w:val="00B4092E"/>
    <w:rsid w:val="00B413EF"/>
    <w:rsid w:val="00B44558"/>
    <w:rsid w:val="00B45C60"/>
    <w:rsid w:val="00B51039"/>
    <w:rsid w:val="00B66466"/>
    <w:rsid w:val="00B7232D"/>
    <w:rsid w:val="00B7232F"/>
    <w:rsid w:val="00B74396"/>
    <w:rsid w:val="00B75693"/>
    <w:rsid w:val="00B8202D"/>
    <w:rsid w:val="00B83ED8"/>
    <w:rsid w:val="00B87603"/>
    <w:rsid w:val="00B8765E"/>
    <w:rsid w:val="00B9382C"/>
    <w:rsid w:val="00B94E07"/>
    <w:rsid w:val="00B94ED3"/>
    <w:rsid w:val="00B95579"/>
    <w:rsid w:val="00B9599B"/>
    <w:rsid w:val="00B95F69"/>
    <w:rsid w:val="00B97BF4"/>
    <w:rsid w:val="00BA0BCB"/>
    <w:rsid w:val="00BA46EC"/>
    <w:rsid w:val="00BB0452"/>
    <w:rsid w:val="00BB27AA"/>
    <w:rsid w:val="00BB5FFB"/>
    <w:rsid w:val="00BC2015"/>
    <w:rsid w:val="00BC69E5"/>
    <w:rsid w:val="00BC7D2B"/>
    <w:rsid w:val="00BD011E"/>
    <w:rsid w:val="00BD1BD9"/>
    <w:rsid w:val="00BD2873"/>
    <w:rsid w:val="00BE16F2"/>
    <w:rsid w:val="00BE23AC"/>
    <w:rsid w:val="00BE4A4C"/>
    <w:rsid w:val="00BF3FAF"/>
    <w:rsid w:val="00BF597E"/>
    <w:rsid w:val="00BF7151"/>
    <w:rsid w:val="00BF77B1"/>
    <w:rsid w:val="00C02BCB"/>
    <w:rsid w:val="00C078CC"/>
    <w:rsid w:val="00C07E77"/>
    <w:rsid w:val="00C1322F"/>
    <w:rsid w:val="00C134A2"/>
    <w:rsid w:val="00C16BC1"/>
    <w:rsid w:val="00C22509"/>
    <w:rsid w:val="00C233CB"/>
    <w:rsid w:val="00C25898"/>
    <w:rsid w:val="00C31C73"/>
    <w:rsid w:val="00C32115"/>
    <w:rsid w:val="00C32D23"/>
    <w:rsid w:val="00C34C9F"/>
    <w:rsid w:val="00C366B3"/>
    <w:rsid w:val="00C37415"/>
    <w:rsid w:val="00C44D4F"/>
    <w:rsid w:val="00C51A36"/>
    <w:rsid w:val="00C52ACE"/>
    <w:rsid w:val="00C5351B"/>
    <w:rsid w:val="00C53CCA"/>
    <w:rsid w:val="00C548BE"/>
    <w:rsid w:val="00C55228"/>
    <w:rsid w:val="00C57265"/>
    <w:rsid w:val="00C57F13"/>
    <w:rsid w:val="00C62BD1"/>
    <w:rsid w:val="00C673D5"/>
    <w:rsid w:val="00C67E19"/>
    <w:rsid w:val="00C67E47"/>
    <w:rsid w:val="00C71E85"/>
    <w:rsid w:val="00C75651"/>
    <w:rsid w:val="00C83A5D"/>
    <w:rsid w:val="00C86F9B"/>
    <w:rsid w:val="00C905E3"/>
    <w:rsid w:val="00C9158B"/>
    <w:rsid w:val="00C92505"/>
    <w:rsid w:val="00C93DAB"/>
    <w:rsid w:val="00C9448F"/>
    <w:rsid w:val="00CA079B"/>
    <w:rsid w:val="00CA3129"/>
    <w:rsid w:val="00CA598B"/>
    <w:rsid w:val="00CA676F"/>
    <w:rsid w:val="00CB0BB0"/>
    <w:rsid w:val="00CB260B"/>
    <w:rsid w:val="00CB51CA"/>
    <w:rsid w:val="00CB5A61"/>
    <w:rsid w:val="00CB622E"/>
    <w:rsid w:val="00CB68C1"/>
    <w:rsid w:val="00CC7248"/>
    <w:rsid w:val="00CC7261"/>
    <w:rsid w:val="00CD5516"/>
    <w:rsid w:val="00CE084D"/>
    <w:rsid w:val="00CE315A"/>
    <w:rsid w:val="00CE3359"/>
    <w:rsid w:val="00CE53B2"/>
    <w:rsid w:val="00CE7BE1"/>
    <w:rsid w:val="00CF1726"/>
    <w:rsid w:val="00CF3236"/>
    <w:rsid w:val="00CF34E3"/>
    <w:rsid w:val="00CF6C5C"/>
    <w:rsid w:val="00D015AF"/>
    <w:rsid w:val="00D01731"/>
    <w:rsid w:val="00D04C8A"/>
    <w:rsid w:val="00D0514D"/>
    <w:rsid w:val="00D06F59"/>
    <w:rsid w:val="00D12B63"/>
    <w:rsid w:val="00D14213"/>
    <w:rsid w:val="00D1658A"/>
    <w:rsid w:val="00D24D0E"/>
    <w:rsid w:val="00D257EB"/>
    <w:rsid w:val="00D25AE1"/>
    <w:rsid w:val="00D3392D"/>
    <w:rsid w:val="00D33B2E"/>
    <w:rsid w:val="00D35291"/>
    <w:rsid w:val="00D35CC0"/>
    <w:rsid w:val="00D453D7"/>
    <w:rsid w:val="00D52340"/>
    <w:rsid w:val="00D546BA"/>
    <w:rsid w:val="00D54F54"/>
    <w:rsid w:val="00D55E69"/>
    <w:rsid w:val="00D562F6"/>
    <w:rsid w:val="00D613CA"/>
    <w:rsid w:val="00D620E2"/>
    <w:rsid w:val="00D645FD"/>
    <w:rsid w:val="00D67E9B"/>
    <w:rsid w:val="00D705C5"/>
    <w:rsid w:val="00D80A06"/>
    <w:rsid w:val="00D8388C"/>
    <w:rsid w:val="00D850A2"/>
    <w:rsid w:val="00D85D9E"/>
    <w:rsid w:val="00D93137"/>
    <w:rsid w:val="00D95C39"/>
    <w:rsid w:val="00D95E05"/>
    <w:rsid w:val="00D969D2"/>
    <w:rsid w:val="00DA0A8D"/>
    <w:rsid w:val="00DA1125"/>
    <w:rsid w:val="00DA1B52"/>
    <w:rsid w:val="00DA508D"/>
    <w:rsid w:val="00DA79DB"/>
    <w:rsid w:val="00DB1644"/>
    <w:rsid w:val="00DB2563"/>
    <w:rsid w:val="00DB2B24"/>
    <w:rsid w:val="00DB3989"/>
    <w:rsid w:val="00DB3DD3"/>
    <w:rsid w:val="00DB6D65"/>
    <w:rsid w:val="00DC0D79"/>
    <w:rsid w:val="00DC2577"/>
    <w:rsid w:val="00DC261B"/>
    <w:rsid w:val="00DC38CC"/>
    <w:rsid w:val="00DC5042"/>
    <w:rsid w:val="00DC6D9C"/>
    <w:rsid w:val="00DD1AAE"/>
    <w:rsid w:val="00DD2936"/>
    <w:rsid w:val="00DD31DC"/>
    <w:rsid w:val="00DD6AE9"/>
    <w:rsid w:val="00DE11F8"/>
    <w:rsid w:val="00DE28C3"/>
    <w:rsid w:val="00DE2D80"/>
    <w:rsid w:val="00DE401E"/>
    <w:rsid w:val="00DE6067"/>
    <w:rsid w:val="00DE6542"/>
    <w:rsid w:val="00DE669D"/>
    <w:rsid w:val="00DE6E1A"/>
    <w:rsid w:val="00DF0279"/>
    <w:rsid w:val="00DF1A6F"/>
    <w:rsid w:val="00DF255E"/>
    <w:rsid w:val="00DF689E"/>
    <w:rsid w:val="00DF7552"/>
    <w:rsid w:val="00DF7C9C"/>
    <w:rsid w:val="00E0248A"/>
    <w:rsid w:val="00E038E4"/>
    <w:rsid w:val="00E054F7"/>
    <w:rsid w:val="00E06F75"/>
    <w:rsid w:val="00E1334D"/>
    <w:rsid w:val="00E14FFB"/>
    <w:rsid w:val="00E17D47"/>
    <w:rsid w:val="00E2469C"/>
    <w:rsid w:val="00E26678"/>
    <w:rsid w:val="00E317C9"/>
    <w:rsid w:val="00E34058"/>
    <w:rsid w:val="00E36534"/>
    <w:rsid w:val="00E4035E"/>
    <w:rsid w:val="00E40A94"/>
    <w:rsid w:val="00E43822"/>
    <w:rsid w:val="00E43D5A"/>
    <w:rsid w:val="00E474A9"/>
    <w:rsid w:val="00E50A87"/>
    <w:rsid w:val="00E547D2"/>
    <w:rsid w:val="00E611BA"/>
    <w:rsid w:val="00E611E4"/>
    <w:rsid w:val="00E61C0C"/>
    <w:rsid w:val="00E63714"/>
    <w:rsid w:val="00E65DB7"/>
    <w:rsid w:val="00E708D8"/>
    <w:rsid w:val="00E75415"/>
    <w:rsid w:val="00E76FBB"/>
    <w:rsid w:val="00E83B47"/>
    <w:rsid w:val="00E86BC9"/>
    <w:rsid w:val="00E90598"/>
    <w:rsid w:val="00E9727C"/>
    <w:rsid w:val="00E97424"/>
    <w:rsid w:val="00EA04B1"/>
    <w:rsid w:val="00EA4601"/>
    <w:rsid w:val="00EA55F7"/>
    <w:rsid w:val="00EA7C25"/>
    <w:rsid w:val="00EB0164"/>
    <w:rsid w:val="00EB023C"/>
    <w:rsid w:val="00EC39E9"/>
    <w:rsid w:val="00EC42F5"/>
    <w:rsid w:val="00EC75C7"/>
    <w:rsid w:val="00EC7A65"/>
    <w:rsid w:val="00ED0F62"/>
    <w:rsid w:val="00ED1F84"/>
    <w:rsid w:val="00EE07A4"/>
    <w:rsid w:val="00EE3ABF"/>
    <w:rsid w:val="00EF2BDD"/>
    <w:rsid w:val="00EF35E4"/>
    <w:rsid w:val="00EF7753"/>
    <w:rsid w:val="00F074A0"/>
    <w:rsid w:val="00F07A58"/>
    <w:rsid w:val="00F16B93"/>
    <w:rsid w:val="00F16D87"/>
    <w:rsid w:val="00F25812"/>
    <w:rsid w:val="00F26299"/>
    <w:rsid w:val="00F31A5C"/>
    <w:rsid w:val="00F3388A"/>
    <w:rsid w:val="00F33CC6"/>
    <w:rsid w:val="00F401CE"/>
    <w:rsid w:val="00F417F3"/>
    <w:rsid w:val="00F422CC"/>
    <w:rsid w:val="00F42D4A"/>
    <w:rsid w:val="00F43FB5"/>
    <w:rsid w:val="00F53331"/>
    <w:rsid w:val="00F606E1"/>
    <w:rsid w:val="00F62627"/>
    <w:rsid w:val="00F64B6A"/>
    <w:rsid w:val="00F66839"/>
    <w:rsid w:val="00F70ABB"/>
    <w:rsid w:val="00F73C8E"/>
    <w:rsid w:val="00F76A88"/>
    <w:rsid w:val="00F8044C"/>
    <w:rsid w:val="00F81780"/>
    <w:rsid w:val="00F83639"/>
    <w:rsid w:val="00F840C3"/>
    <w:rsid w:val="00F937DF"/>
    <w:rsid w:val="00F956F5"/>
    <w:rsid w:val="00FA0833"/>
    <w:rsid w:val="00FA0944"/>
    <w:rsid w:val="00FA350D"/>
    <w:rsid w:val="00FB7025"/>
    <w:rsid w:val="00FC39AD"/>
    <w:rsid w:val="00FC447B"/>
    <w:rsid w:val="00FC50D3"/>
    <w:rsid w:val="00FC712F"/>
    <w:rsid w:val="00FD2869"/>
    <w:rsid w:val="00FD51D6"/>
    <w:rsid w:val="00FD5EE5"/>
    <w:rsid w:val="00FD72A6"/>
    <w:rsid w:val="00FE2C5C"/>
    <w:rsid w:val="00FE3A25"/>
    <w:rsid w:val="00FE7F9B"/>
    <w:rsid w:val="00FF1C54"/>
    <w:rsid w:val="00FF377D"/>
    <w:rsid w:val="00FF4106"/>
    <w:rsid w:val="00FF6F79"/>
    <w:rsid w:val="053A2D97"/>
    <w:rsid w:val="07C917E7"/>
    <w:rsid w:val="0A9239D5"/>
    <w:rsid w:val="0AAE4AE4"/>
    <w:rsid w:val="0E6B29EA"/>
    <w:rsid w:val="108219C2"/>
    <w:rsid w:val="10A24FF4"/>
    <w:rsid w:val="1483457E"/>
    <w:rsid w:val="21D31D11"/>
    <w:rsid w:val="246F5F9E"/>
    <w:rsid w:val="301554FF"/>
    <w:rsid w:val="415E2D13"/>
    <w:rsid w:val="446D41DE"/>
    <w:rsid w:val="46C35FDE"/>
    <w:rsid w:val="4FE311A9"/>
    <w:rsid w:val="522349BA"/>
    <w:rsid w:val="5EA12B9A"/>
    <w:rsid w:val="695947AC"/>
    <w:rsid w:val="6A0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qFormat/>
    <w:rsid w:val="00C5351B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22509"/>
    <w:pPr>
      <w:widowControl/>
      <w:jc w:val="left"/>
    </w:pPr>
    <w:rPr>
      <w:rFonts w:ascii="宋体" w:hAnsi="Courier New"/>
      <w:kern w:val="0"/>
      <w:sz w:val="2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225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2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C2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22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250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25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纯文本 Char"/>
    <w:basedOn w:val="a0"/>
    <w:link w:val="a3"/>
    <w:qFormat/>
    <w:rsid w:val="00C22509"/>
    <w:rPr>
      <w:rFonts w:ascii="宋体" w:eastAsia="宋体" w:hAnsi="Courier New" w:cs="Times New Roman"/>
      <w:lang w:eastAsia="en-US"/>
    </w:rPr>
  </w:style>
  <w:style w:type="paragraph" w:customStyle="1" w:styleId="Style2">
    <w:name w:val="_Style 2"/>
    <w:basedOn w:val="a"/>
    <w:qFormat/>
    <w:rsid w:val="00C22509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List Paragraph"/>
    <w:basedOn w:val="a"/>
    <w:uiPriority w:val="99"/>
    <w:unhideWhenUsed/>
    <w:rsid w:val="00124B12"/>
    <w:pPr>
      <w:ind w:firstLineChars="200" w:firstLine="420"/>
    </w:pPr>
  </w:style>
  <w:style w:type="paragraph" w:styleId="a9">
    <w:name w:val="Body Text Indent"/>
    <w:basedOn w:val="a"/>
    <w:link w:val="Char3"/>
    <w:rsid w:val="008A4EB4"/>
    <w:pPr>
      <w:widowControl/>
      <w:spacing w:after="120"/>
      <w:ind w:leftChars="200" w:left="420"/>
    </w:pPr>
    <w:rPr>
      <w:rFonts w:ascii="Calibri" w:hAnsi="Calibri"/>
    </w:rPr>
  </w:style>
  <w:style w:type="character" w:customStyle="1" w:styleId="Char3">
    <w:name w:val="正文文本缩进 Char"/>
    <w:basedOn w:val="a0"/>
    <w:link w:val="a9"/>
    <w:rsid w:val="008A4EB4"/>
    <w:rPr>
      <w:rFonts w:ascii="Calibri" w:eastAsia="宋体" w:hAnsi="Calibri" w:cs="Times New Roman"/>
      <w:kern w:val="2"/>
      <w:sz w:val="21"/>
    </w:rPr>
  </w:style>
  <w:style w:type="paragraph" w:customStyle="1" w:styleId="aa">
    <w:name w:val="表格文字"/>
    <w:basedOn w:val="a"/>
    <w:rsid w:val="008A4EB4"/>
    <w:pPr>
      <w:widowControl/>
      <w:spacing w:beforeLines="25" w:afterLines="25" w:line="360" w:lineRule="auto"/>
    </w:pPr>
    <w:rPr>
      <w:rFonts w:ascii="Calibri" w:hAnsi="Calibri"/>
      <w:spacing w:val="10"/>
      <w:szCs w:val="24"/>
    </w:rPr>
  </w:style>
  <w:style w:type="character" w:customStyle="1" w:styleId="CharChar">
    <w:name w:val="Char Char"/>
    <w:rsid w:val="00526991"/>
    <w:rPr>
      <w:rFonts w:eastAsia="宋体"/>
      <w:sz w:val="21"/>
      <w:lang w:val="en-US" w:eastAsia="zh-CN" w:bidi="ar-SA"/>
    </w:rPr>
  </w:style>
  <w:style w:type="paragraph" w:customStyle="1" w:styleId="main">
    <w:name w:val="main"/>
    <w:basedOn w:val="a"/>
    <w:rsid w:val="00526991"/>
    <w:pPr>
      <w:widowControl/>
      <w:spacing w:before="100" w:beforeAutospacing="1" w:after="100" w:afterAutospacing="1" w:line="320" w:lineRule="atLeast"/>
      <w:jc w:val="left"/>
    </w:pPr>
    <w:rPr>
      <w:rFonts w:ascii="ˎ̥" w:hAnsi="ˎ̥"/>
      <w:kern w:val="0"/>
      <w:szCs w:val="21"/>
    </w:rPr>
  </w:style>
  <w:style w:type="character" w:customStyle="1" w:styleId="2Char">
    <w:name w:val="标题 2 Char"/>
    <w:basedOn w:val="a0"/>
    <w:link w:val="2"/>
    <w:rsid w:val="00C5351B"/>
    <w:rPr>
      <w:rFonts w:ascii="Arial" w:eastAsia="黑体" w:hAnsi="Arial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7D889A4A-C3FC-4071-962D-16AB2B942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419</Words>
  <Characters>2390</Characters>
  <Application>Microsoft Office Word</Application>
  <DocSecurity>0</DocSecurity>
  <Lines>19</Lines>
  <Paragraphs>5</Paragraphs>
  <ScaleCrop>false</ScaleCrop>
  <Company>china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1292</cp:revision>
  <dcterms:created xsi:type="dcterms:W3CDTF">2015-06-17T12:51:00Z</dcterms:created>
  <dcterms:modified xsi:type="dcterms:W3CDTF">2020-09-27T03:48:00Z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