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601A3">
              <w:rPr>
                <w:rFonts w:hint="eastAsia"/>
                <w:sz w:val="24"/>
                <w:szCs w:val="24"/>
              </w:rPr>
              <w:t>采购</w:t>
            </w:r>
            <w:r w:rsidR="003948AF">
              <w:rPr>
                <w:rFonts w:hint="eastAsia"/>
                <w:sz w:val="24"/>
                <w:szCs w:val="24"/>
              </w:rPr>
              <w:t>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4601A3" w:rsidRPr="004601A3">
              <w:rPr>
                <w:rFonts w:hint="eastAsia"/>
                <w:sz w:val="24"/>
                <w:szCs w:val="24"/>
              </w:rPr>
              <w:t>刘德海</w:t>
            </w:r>
            <w:r w:rsidR="00FA625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4601A3" w:rsidRPr="004601A3">
              <w:rPr>
                <w:rFonts w:hint="eastAsia"/>
                <w:sz w:val="24"/>
                <w:szCs w:val="24"/>
              </w:rPr>
              <w:t>石仕义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4601A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C207AD">
              <w:rPr>
                <w:rFonts w:hint="eastAsia"/>
                <w:sz w:val="24"/>
                <w:szCs w:val="24"/>
              </w:rPr>
              <w:t>、</w:t>
            </w:r>
            <w:r w:rsidR="004601A3">
              <w:rPr>
                <w:rFonts w:hint="eastAsia"/>
                <w:sz w:val="24"/>
                <w:szCs w:val="24"/>
              </w:rPr>
              <w:t>（专业条款审核有审核员王志慧</w:t>
            </w:r>
            <w:r w:rsidR="004601A3" w:rsidRPr="004601A3">
              <w:rPr>
                <w:rFonts w:hint="eastAsia"/>
                <w:sz w:val="24"/>
                <w:szCs w:val="24"/>
              </w:rPr>
              <w:t>、专家石泽龙的专业支持）</w:t>
            </w:r>
            <w:r w:rsidR="004601A3">
              <w:rPr>
                <w:rFonts w:hint="eastAsia"/>
                <w:sz w:val="24"/>
                <w:szCs w:val="24"/>
              </w:rPr>
              <w:t xml:space="preserve">  </w:t>
            </w:r>
            <w:r w:rsidR="00FA6258">
              <w:rPr>
                <w:rFonts w:hint="eastAsia"/>
                <w:sz w:val="24"/>
                <w:szCs w:val="24"/>
              </w:rPr>
              <w:t xml:space="preserve"> </w:t>
            </w:r>
            <w:r w:rsidR="00C207A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FA6258">
              <w:rPr>
                <w:rFonts w:hint="eastAsia"/>
                <w:sz w:val="24"/>
                <w:szCs w:val="24"/>
              </w:rPr>
              <w:t>20.</w:t>
            </w:r>
            <w:r w:rsidR="00C207AD">
              <w:rPr>
                <w:rFonts w:hint="eastAsia"/>
                <w:sz w:val="24"/>
                <w:szCs w:val="24"/>
              </w:rPr>
              <w:t>9.</w:t>
            </w:r>
            <w:r w:rsidR="004601A3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Pr="004601A3" w:rsidRDefault="00036062" w:rsidP="003948AF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4601A3" w:rsidRPr="004601A3">
              <w:rPr>
                <w:rFonts w:hint="eastAsia"/>
                <w:sz w:val="24"/>
                <w:szCs w:val="24"/>
              </w:rPr>
              <w:t>EO: 5.3</w:t>
            </w:r>
            <w:r w:rsidR="004601A3" w:rsidRPr="004601A3">
              <w:rPr>
                <w:rFonts w:hint="eastAsia"/>
                <w:sz w:val="24"/>
                <w:szCs w:val="24"/>
              </w:rPr>
              <w:t>组织的岗位、职责和权限、</w:t>
            </w:r>
            <w:r w:rsidR="004601A3" w:rsidRPr="004601A3">
              <w:rPr>
                <w:rFonts w:hint="eastAsia"/>
                <w:sz w:val="24"/>
                <w:szCs w:val="24"/>
              </w:rPr>
              <w:t>6.2</w:t>
            </w:r>
            <w:r w:rsidR="004601A3" w:rsidRPr="004601A3">
              <w:rPr>
                <w:rFonts w:hint="eastAsia"/>
                <w:sz w:val="24"/>
                <w:szCs w:val="24"/>
              </w:rPr>
              <w:t>环境与职业健康安全目标、</w:t>
            </w:r>
            <w:r w:rsidR="004601A3" w:rsidRPr="004601A3">
              <w:rPr>
                <w:rFonts w:hint="eastAsia"/>
                <w:sz w:val="24"/>
                <w:szCs w:val="24"/>
              </w:rPr>
              <w:t>6.1.2</w:t>
            </w:r>
            <w:r w:rsidR="004601A3" w:rsidRPr="004601A3">
              <w:rPr>
                <w:rFonts w:hint="eastAsia"/>
                <w:sz w:val="24"/>
                <w:szCs w:val="24"/>
              </w:rPr>
              <w:t>环境因素</w:t>
            </w:r>
            <w:r w:rsidR="004601A3" w:rsidRPr="004601A3">
              <w:rPr>
                <w:rFonts w:hint="eastAsia"/>
                <w:sz w:val="24"/>
                <w:szCs w:val="24"/>
              </w:rPr>
              <w:t>/</w:t>
            </w:r>
            <w:r w:rsidR="004601A3" w:rsidRPr="004601A3">
              <w:rPr>
                <w:rFonts w:hint="eastAsia"/>
                <w:sz w:val="24"/>
                <w:szCs w:val="24"/>
              </w:rPr>
              <w:t>危险源辨识与评价、</w:t>
            </w:r>
            <w:r w:rsidR="004601A3" w:rsidRPr="004601A3">
              <w:rPr>
                <w:rFonts w:hint="eastAsia"/>
                <w:sz w:val="24"/>
                <w:szCs w:val="24"/>
              </w:rPr>
              <w:t>8.1</w:t>
            </w:r>
            <w:r w:rsidR="004601A3" w:rsidRPr="004601A3">
              <w:rPr>
                <w:rFonts w:hint="eastAsia"/>
                <w:sz w:val="24"/>
                <w:szCs w:val="24"/>
              </w:rPr>
              <w:t>运行策划和控制、</w:t>
            </w:r>
            <w:r w:rsidR="004601A3" w:rsidRPr="004601A3">
              <w:rPr>
                <w:rFonts w:hint="eastAsia"/>
                <w:sz w:val="24"/>
                <w:szCs w:val="24"/>
              </w:rPr>
              <w:t>8.2</w:t>
            </w:r>
            <w:r w:rsidR="004601A3" w:rsidRPr="004601A3">
              <w:rPr>
                <w:rFonts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</w:t>
            </w:r>
            <w:r w:rsidR="00FA6258" w:rsidRPr="00FA6258">
              <w:rPr>
                <w:rFonts w:eastAsiaTheme="minorEastAsia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sz w:val="24"/>
                <w:szCs w:val="24"/>
              </w:rPr>
              <w:t>5.3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审核过程中了解到部门主要负责：采购控制、供应商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开发、考核管理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，本部门环境因素和危险源识别和控制，本部门目标制定与实施，与相关方做好沟通等。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</w:t>
            </w:r>
            <w:r w:rsidR="00FA6258">
              <w:rPr>
                <w:rFonts w:eastAsiaTheme="minorEastAsia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sz w:val="24"/>
                <w:szCs w:val="24"/>
              </w:rPr>
              <w:t>6.2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5557E0" w:rsidRDefault="00FA6258" w:rsidP="00C720E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4601A3"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4601A3">
              <w:rPr>
                <w:rFonts w:eastAsiaTheme="minorEastAsia" w:hint="eastAsia"/>
                <w:sz w:val="24"/>
                <w:szCs w:val="24"/>
              </w:rPr>
              <w:t>28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4601A3" w:rsidP="00C720E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4601A3" w:rsidP="00C720E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C207AD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C207AD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4601A3"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4601A3">
              <w:rPr>
                <w:rFonts w:eastAsiaTheme="minorEastAsia" w:hint="eastAsia"/>
                <w:sz w:val="24"/>
                <w:szCs w:val="24"/>
              </w:rPr>
              <w:t>28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557E0">
              <w:rPr>
                <w:rFonts w:eastAsiaTheme="minorEastAsia"/>
                <w:sz w:val="24"/>
                <w:szCs w:val="24"/>
              </w:rPr>
              <w:t>\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276B7B">
        <w:trPr>
          <w:trHeight w:val="844"/>
        </w:trPr>
        <w:tc>
          <w:tcPr>
            <w:tcW w:w="2160" w:type="dxa"/>
            <w:vAlign w:val="center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9755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按照办公过程和采购服务过程对环境因素、危险源进行了辨识，辨识时考虑了三种时态：过去、现在和将来，和三种状态：正常、异常和紧急。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，识别了本部门在办公、采购、相关方等各有关过程的环境因素，包括日光灯更换、电脑使用用电消耗、办公纸张、采购活动宣传材料的处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置、车辆尾气排放、废包装物排放等环境因素，识别时能考虑产品生命周期观点。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276B7B">
              <w:rPr>
                <w:rFonts w:eastAsiaTheme="minorEastAsia" w:hint="eastAsia"/>
                <w:sz w:val="24"/>
                <w:szCs w:val="24"/>
              </w:rPr>
              <w:t>2</w:t>
            </w:r>
            <w:r w:rsidR="00276B7B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</w:t>
            </w:r>
            <w:r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4601A3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个不可接受风险，包括：</w:t>
            </w:r>
            <w:r w:rsidRPr="008F04A3">
              <w:rPr>
                <w:rFonts w:eastAsiaTheme="minorEastAsia" w:hAnsiTheme="minorEastAsia"/>
                <w:color w:val="000000"/>
                <w:sz w:val="24"/>
                <w:szCs w:val="24"/>
              </w:rPr>
              <w:t>触电、</w:t>
            </w:r>
            <w:r w:rsidR="004601A3">
              <w:rPr>
                <w:rFonts w:eastAsiaTheme="minorEastAsia" w:hAnsiTheme="minorEastAsia"/>
                <w:color w:val="000000"/>
                <w:sz w:val="24"/>
                <w:szCs w:val="24"/>
              </w:rPr>
              <w:t>潜在</w:t>
            </w:r>
            <w:r w:rsidRPr="008F04A3">
              <w:rPr>
                <w:rFonts w:eastAsiaTheme="minorEastAsia" w:hAnsiTheme="minorEastAsia"/>
                <w:color w:val="000000"/>
                <w:sz w:val="24"/>
                <w:szCs w:val="24"/>
              </w:rPr>
              <w:t>火灾事故的发生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EA11FE">
        <w:trPr>
          <w:trHeight w:val="689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51309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4A53A8" w:rsidRPr="00194789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>
              <w:rPr>
                <w:rFonts w:eastAsiaTheme="minorEastAsia" w:hint="eastAsia"/>
                <w:sz w:val="24"/>
                <w:szCs w:val="24"/>
              </w:rPr>
              <w:t>、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4601A3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采购。公司目前采购的</w:t>
            </w:r>
            <w:r>
              <w:rPr>
                <w:rFonts w:eastAsiaTheme="minorEastAsia" w:hAnsiTheme="minorEastAsia"/>
                <w:sz w:val="24"/>
                <w:szCs w:val="24"/>
              </w:rPr>
              <w:t>主要原材料有：镀锌板、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不锈钢板、冷轧钢板、塑粉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</w:p>
          <w:p w:rsidR="004A53A8" w:rsidRPr="00194789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本部门办公中所使用的办公用品均由公司行政部负责统一打印、复印，产生的废弃物，由行政部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4A53A8" w:rsidRPr="00194789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4A53A8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4601A3">
              <w:rPr>
                <w:rFonts w:eastAsiaTheme="minorEastAsia" w:hint="eastAsia"/>
                <w:sz w:val="24"/>
                <w:szCs w:val="24"/>
              </w:rPr>
              <w:t>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4601A3">
              <w:rPr>
                <w:rFonts w:eastAsiaTheme="minorEastAsia" w:hint="eastAsia"/>
                <w:sz w:val="24"/>
                <w:szCs w:val="24"/>
              </w:rPr>
              <w:t>8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Pr="004A53A8">
              <w:rPr>
                <w:rFonts w:eastAsiaTheme="minorEastAsia" w:hAnsiTheme="minorEastAsia" w:hint="eastAsia"/>
                <w:sz w:val="24"/>
                <w:szCs w:val="24"/>
              </w:rPr>
              <w:t>谢薛军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4A53A8" w:rsidRPr="00570002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70002">
              <w:rPr>
                <w:rFonts w:eastAsiaTheme="minorEastAsia" w:hint="eastAsia"/>
                <w:sz w:val="24"/>
                <w:szCs w:val="24"/>
              </w:rPr>
              <w:t>6.</w:t>
            </w:r>
            <w:r w:rsidRPr="00570002">
              <w:rPr>
                <w:rFonts w:eastAsiaTheme="minorEastAsia" w:hint="eastAsia"/>
                <w:sz w:val="24"/>
                <w:szCs w:val="24"/>
              </w:rPr>
              <w:t>提供了《重要相关方施加影响一览表》，</w:t>
            </w:r>
            <w:r w:rsidR="003335CC" w:rsidRPr="00570002">
              <w:rPr>
                <w:rFonts w:eastAsiaTheme="minorEastAsia" w:hint="eastAsia"/>
                <w:sz w:val="24"/>
                <w:szCs w:val="24"/>
              </w:rPr>
              <w:t>2020.</w:t>
            </w:r>
            <w:r w:rsidR="004601A3" w:rsidRPr="00570002">
              <w:rPr>
                <w:rFonts w:eastAsiaTheme="minorEastAsia" w:hint="eastAsia"/>
                <w:sz w:val="24"/>
                <w:szCs w:val="24"/>
              </w:rPr>
              <w:t>1</w:t>
            </w:r>
            <w:r w:rsidR="003335CC" w:rsidRPr="00570002">
              <w:rPr>
                <w:rFonts w:eastAsiaTheme="minorEastAsia" w:hint="eastAsia"/>
                <w:sz w:val="24"/>
                <w:szCs w:val="24"/>
              </w:rPr>
              <w:t>.1</w:t>
            </w:r>
            <w:r w:rsidR="00570002" w:rsidRPr="00570002">
              <w:rPr>
                <w:rFonts w:eastAsiaTheme="minorEastAsia" w:hint="eastAsia"/>
                <w:sz w:val="24"/>
                <w:szCs w:val="24"/>
              </w:rPr>
              <w:t>5</w:t>
            </w:r>
            <w:r w:rsidRPr="00570002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570002">
              <w:rPr>
                <w:rFonts w:eastAsiaTheme="minorEastAsia" w:hint="eastAsia"/>
                <w:sz w:val="24"/>
                <w:szCs w:val="24"/>
              </w:rPr>
              <w:t>:</w:t>
            </w:r>
            <w:r w:rsidRPr="00570002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570002">
              <w:rPr>
                <w:rFonts w:eastAsiaTheme="minorEastAsia" w:hint="eastAsia"/>
                <w:sz w:val="24"/>
                <w:szCs w:val="24"/>
              </w:rPr>
              <w:t>/</w:t>
            </w:r>
            <w:r w:rsidRPr="00570002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570002">
              <w:rPr>
                <w:rFonts w:eastAsiaTheme="minorEastAsia" w:hint="eastAsia"/>
                <w:sz w:val="24"/>
                <w:szCs w:val="24"/>
              </w:rPr>
              <w:t>/</w:t>
            </w:r>
            <w:r w:rsidRPr="00570002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4A53A8" w:rsidRPr="00EA3EDE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70002">
              <w:rPr>
                <w:rFonts w:eastAsiaTheme="minorEastAsia" w:hint="eastAsia"/>
                <w:sz w:val="24"/>
                <w:szCs w:val="24"/>
              </w:rPr>
              <w:t>7.</w:t>
            </w:r>
            <w:r w:rsidR="004601A3" w:rsidRPr="00570002">
              <w:rPr>
                <w:rFonts w:eastAsiaTheme="minorEastAsia" w:hint="eastAsia"/>
                <w:sz w:val="24"/>
                <w:szCs w:val="24"/>
              </w:rPr>
              <w:t>采购部</w:t>
            </w:r>
            <w:r w:rsidRPr="00570002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4A53A8" w:rsidRPr="00EA3EDE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原材料仓，按物料种类分类摆放，查看现场物料排放整齐，物料标识清晰；化学品（润滑油等）集中存放，贴有</w:t>
            </w:r>
            <w:r w:rsidRPr="00EA3EDE">
              <w:rPr>
                <w:rFonts w:eastAsiaTheme="minorEastAsia" w:hint="eastAsia"/>
                <w:sz w:val="24"/>
                <w:szCs w:val="24"/>
              </w:rPr>
              <w:t>MSDS,</w:t>
            </w:r>
            <w:r w:rsidRPr="00EA3EDE">
              <w:rPr>
                <w:rFonts w:eastAsiaTheme="minorEastAsia" w:hint="eastAsia"/>
                <w:sz w:val="24"/>
                <w:szCs w:val="24"/>
              </w:rPr>
              <w:t>现场查看办公区域和仓库区域配备了灭火器等消防设施，状</w:t>
            </w:r>
            <w:r w:rsidRPr="00EA3EDE">
              <w:rPr>
                <w:rFonts w:eastAsiaTheme="minorEastAsia" w:hint="eastAsia"/>
                <w:sz w:val="24"/>
                <w:szCs w:val="24"/>
              </w:rPr>
              <w:lastRenderedPageBreak/>
              <w:t>况正常。</w:t>
            </w:r>
          </w:p>
          <w:p w:rsidR="004A53A8" w:rsidRPr="005557E0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4A53A8" w:rsidRPr="005557E0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4A53A8" w:rsidRPr="005557E0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4A53A8" w:rsidRPr="005557E0" w:rsidRDefault="004A53A8" w:rsidP="004A53A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12</w:t>
            </w:r>
            <w:r w:rsidRPr="005557E0">
              <w:rPr>
                <w:rFonts w:eastAsiaTheme="minorEastAsia"/>
                <w:sz w:val="24"/>
                <w:szCs w:val="24"/>
              </w:rPr>
              <w:t>.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4601A3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执行公司要求进行人员出入登记，量体温</w:t>
            </w:r>
            <w:r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8432E7" w:rsidRPr="00FA6258" w:rsidRDefault="004A53A8" w:rsidP="004A53A8">
            <w:pPr>
              <w:pStyle w:val="a6"/>
              <w:spacing w:before="0" w:after="0" w:line="360" w:lineRule="auto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167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  <w:vAlign w:val="center"/>
          </w:tcPr>
          <w:p w:rsidR="008432E7" w:rsidRPr="00FD5E6E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D5E6E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755" w:type="dxa"/>
            <w:vAlign w:val="center"/>
          </w:tcPr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编制了《应急准备和响应控制程序》，确定的紧急情况有：火灾、触电等。建立了火灾、触电、疫情防控等应急预案，由行政部组织演练。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查看了触电应急预案演习记录，演练时间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Pr="00911DF7">
              <w:rPr>
                <w:rFonts w:eastAsiaTheme="minorEastAsia" w:hAnsiTheme="minorEastAsia" w:hint="eastAsia"/>
                <w:sz w:val="24"/>
                <w:szCs w:val="24"/>
              </w:rPr>
              <w:t>石仕义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参加人：行政部、销售部、生产部、</w:t>
            </w:r>
            <w:r w:rsidR="00C720E1">
              <w:rPr>
                <w:rFonts w:eastAsiaTheme="minorEastAsia" w:hAnsiTheme="minorEastAsia" w:hint="eastAsia"/>
                <w:sz w:val="24"/>
                <w:szCs w:val="24"/>
              </w:rPr>
              <w:t>技术部、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品管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、采购部、财务部等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4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B695D" w:rsidRPr="00CE7AFF" w:rsidRDefault="00CB695D" w:rsidP="00CB69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2020.6.12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日火灾应急预案演习记录，情况同上。</w:t>
            </w:r>
          </w:p>
          <w:p w:rsidR="008432E7" w:rsidRPr="00FD5E6E" w:rsidRDefault="00CB695D" w:rsidP="00CB695D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FF" w:rsidRDefault="00B764FF" w:rsidP="008432E7">
      <w:r>
        <w:separator/>
      </w:r>
    </w:p>
  </w:endnote>
  <w:endnote w:type="continuationSeparator" w:id="1">
    <w:p w:rsidR="00B764FF" w:rsidRDefault="00B764FF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85E6C" w:rsidRDefault="00F1155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85E6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0E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685E6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85E6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20E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5E6C" w:rsidRDefault="00685E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FF" w:rsidRDefault="00B764FF" w:rsidP="008432E7">
      <w:r>
        <w:separator/>
      </w:r>
    </w:p>
  </w:footnote>
  <w:footnote w:type="continuationSeparator" w:id="1">
    <w:p w:rsidR="00B764FF" w:rsidRDefault="00B764FF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6C" w:rsidRDefault="00685E6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5E6C" w:rsidRDefault="00F1155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685E6C" w:rsidRDefault="00685E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5E6C">
      <w:rPr>
        <w:rStyle w:val="CharChar1"/>
        <w:rFonts w:hint="default"/>
        <w:w w:val="90"/>
      </w:rPr>
      <w:t>Beijing International Standard united Certification Co.,Ltd.</w:t>
    </w:r>
  </w:p>
  <w:p w:rsidR="00685E6C" w:rsidRDefault="00685E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7484"/>
    <w:rsid w:val="00092533"/>
    <w:rsid w:val="00096538"/>
    <w:rsid w:val="000C70C7"/>
    <w:rsid w:val="000F086F"/>
    <w:rsid w:val="000F2CED"/>
    <w:rsid w:val="00120AE6"/>
    <w:rsid w:val="00157017"/>
    <w:rsid w:val="001B65B6"/>
    <w:rsid w:val="001C77F1"/>
    <w:rsid w:val="002660DA"/>
    <w:rsid w:val="00272E91"/>
    <w:rsid w:val="0027655C"/>
    <w:rsid w:val="00276B7B"/>
    <w:rsid w:val="002866EF"/>
    <w:rsid w:val="002C4576"/>
    <w:rsid w:val="002E6A80"/>
    <w:rsid w:val="003335CC"/>
    <w:rsid w:val="003831AB"/>
    <w:rsid w:val="003915FE"/>
    <w:rsid w:val="003948AF"/>
    <w:rsid w:val="003A7E8F"/>
    <w:rsid w:val="003F3881"/>
    <w:rsid w:val="004244A6"/>
    <w:rsid w:val="00441AB2"/>
    <w:rsid w:val="004601A3"/>
    <w:rsid w:val="0046592B"/>
    <w:rsid w:val="004A53A8"/>
    <w:rsid w:val="004D5D26"/>
    <w:rsid w:val="00570002"/>
    <w:rsid w:val="00572FAE"/>
    <w:rsid w:val="00592E41"/>
    <w:rsid w:val="005A6AF6"/>
    <w:rsid w:val="005D62E4"/>
    <w:rsid w:val="005D7407"/>
    <w:rsid w:val="005F48A2"/>
    <w:rsid w:val="00610E50"/>
    <w:rsid w:val="006240C5"/>
    <w:rsid w:val="006531B6"/>
    <w:rsid w:val="00685E6C"/>
    <w:rsid w:val="00692248"/>
    <w:rsid w:val="00693044"/>
    <w:rsid w:val="006F653C"/>
    <w:rsid w:val="00723116"/>
    <w:rsid w:val="00724FA6"/>
    <w:rsid w:val="00747E87"/>
    <w:rsid w:val="00774E8D"/>
    <w:rsid w:val="00805ACB"/>
    <w:rsid w:val="00816586"/>
    <w:rsid w:val="008432E7"/>
    <w:rsid w:val="00871F49"/>
    <w:rsid w:val="00884E13"/>
    <w:rsid w:val="008F00CE"/>
    <w:rsid w:val="00915139"/>
    <w:rsid w:val="009539F1"/>
    <w:rsid w:val="0096202E"/>
    <w:rsid w:val="009816B6"/>
    <w:rsid w:val="009C6775"/>
    <w:rsid w:val="009F2DA6"/>
    <w:rsid w:val="00A074DB"/>
    <w:rsid w:val="00A149D2"/>
    <w:rsid w:val="00A405AC"/>
    <w:rsid w:val="00A418EE"/>
    <w:rsid w:val="00A43535"/>
    <w:rsid w:val="00A671B3"/>
    <w:rsid w:val="00AC5EEA"/>
    <w:rsid w:val="00AD342E"/>
    <w:rsid w:val="00AE16C2"/>
    <w:rsid w:val="00AE34EE"/>
    <w:rsid w:val="00B22820"/>
    <w:rsid w:val="00B764FF"/>
    <w:rsid w:val="00BA7754"/>
    <w:rsid w:val="00BB7084"/>
    <w:rsid w:val="00BF18A5"/>
    <w:rsid w:val="00BF231E"/>
    <w:rsid w:val="00C017BA"/>
    <w:rsid w:val="00C207AD"/>
    <w:rsid w:val="00C451D2"/>
    <w:rsid w:val="00C720E1"/>
    <w:rsid w:val="00C9528D"/>
    <w:rsid w:val="00CB245B"/>
    <w:rsid w:val="00CB695D"/>
    <w:rsid w:val="00CC5D45"/>
    <w:rsid w:val="00D158EC"/>
    <w:rsid w:val="00E103F9"/>
    <w:rsid w:val="00E162D3"/>
    <w:rsid w:val="00E33843"/>
    <w:rsid w:val="00E42242"/>
    <w:rsid w:val="00EA11FE"/>
    <w:rsid w:val="00EC2974"/>
    <w:rsid w:val="00F01F55"/>
    <w:rsid w:val="00F0211B"/>
    <w:rsid w:val="00F11554"/>
    <w:rsid w:val="00F13E3B"/>
    <w:rsid w:val="00F15F35"/>
    <w:rsid w:val="00F346E2"/>
    <w:rsid w:val="00F40AC7"/>
    <w:rsid w:val="00F46EF6"/>
    <w:rsid w:val="00F51309"/>
    <w:rsid w:val="00F638FD"/>
    <w:rsid w:val="00F9703F"/>
    <w:rsid w:val="00FA0A95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48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  <w:style w:type="character" w:customStyle="1" w:styleId="fontstyle01">
    <w:name w:val="fontstyle01"/>
    <w:basedOn w:val="a0"/>
    <w:rsid w:val="004A53A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381</Words>
  <Characters>2177</Characters>
  <Application>Microsoft Office Word</Application>
  <DocSecurity>0</DocSecurity>
  <Lines>18</Lines>
  <Paragraphs>5</Paragraphs>
  <ScaleCrop>false</ScaleCrop>
  <Company>china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21</cp:revision>
  <dcterms:created xsi:type="dcterms:W3CDTF">2015-06-17T12:51:00Z</dcterms:created>
  <dcterms:modified xsi:type="dcterms:W3CDTF">2020-09-27T03:48:00Z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