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bCs/>
          <w:color w:val="000000"/>
          <w:sz w:val="36"/>
          <w:szCs w:val="36"/>
          <w:lang w:val="en-US" w:eastAsia="zh-CN"/>
        </w:rPr>
      </w:pPr>
      <w:r>
        <w:rPr>
          <w:rFonts w:hint="eastAsia" w:asciiTheme="minorEastAsia" w:hAnsiTheme="minorEastAsia" w:eastAsiaTheme="minorEastAsia" w:cstheme="minorEastAsia"/>
          <w:bCs/>
          <w:color w:val="000000"/>
          <w:sz w:val="36"/>
          <w:szCs w:val="36"/>
        </w:rPr>
        <w:t>管理体系审核记录表</w:t>
      </w:r>
      <w:r>
        <w:rPr>
          <w:rFonts w:hint="eastAsia" w:asciiTheme="minorEastAsia" w:hAnsiTheme="minorEastAsia" w:eastAsiaTheme="minorEastAsia" w:cstheme="minorEastAsia"/>
          <w:bCs/>
          <w:color w:val="000000"/>
          <w:sz w:val="36"/>
          <w:szCs w:val="36"/>
          <w:lang w:val="en-US" w:eastAsia="zh-CN"/>
        </w:rPr>
        <w:t>1</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75"/>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87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b/>
                <w:bCs/>
                <w:sz w:val="21"/>
                <w:szCs w:val="21"/>
                <w:lang w:val="en-US" w:eastAsia="zh-CN"/>
              </w:rPr>
              <w:t>销售</w:t>
            </w:r>
            <w:r>
              <w:rPr>
                <w:rFonts w:hint="eastAsia" w:asciiTheme="minorEastAsia" w:hAnsiTheme="minorEastAsia" w:eastAsiaTheme="minorEastAsia" w:cstheme="minorEastAsia"/>
                <w:b/>
                <w:bCs/>
                <w:sz w:val="21"/>
                <w:szCs w:val="21"/>
              </w:rPr>
              <w:t>部</w:t>
            </w:r>
            <w:r>
              <w:rPr>
                <w:rFonts w:hint="eastAsia" w:asciiTheme="minorEastAsia" w:hAnsiTheme="minorEastAsia" w:eastAsiaTheme="minorEastAsia" w:cstheme="minorEastAsia"/>
                <w:b/>
                <w:bCs/>
                <w:sz w:val="21"/>
                <w:szCs w:val="21"/>
                <w:lang w:val="en-US" w:eastAsia="zh-CN"/>
              </w:rPr>
              <w:t>-</w:t>
            </w:r>
            <w:r>
              <w:rPr>
                <w:rFonts w:hint="eastAsia" w:asciiTheme="minorEastAsia" w:hAnsiTheme="minorEastAsia" w:eastAsiaTheme="minorEastAsia" w:cstheme="minorEastAsia"/>
                <w:sz w:val="21"/>
                <w:szCs w:val="21"/>
                <w:lang w:val="en-US" w:eastAsia="zh-CN"/>
              </w:rPr>
              <w:t xml:space="preserve">安装现场，即：永修县档案局，永修政府一楼     </w:t>
            </w:r>
          </w:p>
          <w:p>
            <w:pP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 xml:space="preserve">安装组长：闵定伟          陪同：柳秋华           </w:t>
            </w:r>
          </w:p>
        </w:tc>
        <w:tc>
          <w:tcPr>
            <w:tcW w:w="714"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75"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审核员：王志慧</w:t>
            </w:r>
            <w:r>
              <w:rPr>
                <w:rFonts w:hint="eastAsia" w:asciiTheme="minorEastAsia" w:hAnsiTheme="minorEastAsia" w:eastAsiaTheme="minorEastAsia" w:cstheme="minorEastAsia"/>
                <w:sz w:val="21"/>
                <w:szCs w:val="21"/>
                <w:lang w:val="en-US" w:eastAsia="zh-CN"/>
              </w:rPr>
              <w:t xml:space="preserve"> 、伍光华、文波</w:t>
            </w:r>
            <w:bookmarkStart w:id="1" w:name="_GoBack"/>
            <w:bookmarkEnd w:id="1"/>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2020年9月26日</w:t>
            </w:r>
          </w:p>
        </w:tc>
        <w:tc>
          <w:tcPr>
            <w:tcW w:w="714"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7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审核条款：EMS/ OHSMS: 5.3组织的岗位、职责和权限、6.2环境/职业健康安全目标、6.1.2环境因素/危险源辨识与评价、8.1运行策划和控制、8.2应急准备和响应</w:t>
            </w:r>
          </w:p>
        </w:tc>
        <w:tc>
          <w:tcPr>
            <w:tcW w:w="714"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heme="minorEastAsia" w:hAnsiTheme="minorEastAsia" w:eastAsiaTheme="minorEastAsia" w:cstheme="minorEastAsia"/>
                <w:sz w:val="21"/>
                <w:szCs w:val="21"/>
              </w:rPr>
            </w:pPr>
            <w:r>
              <w:rPr>
                <w:rFonts w:hint="eastAsia"/>
                <w:color w:val="auto"/>
              </w:rPr>
              <w:t>组织的岗位、职责权限</w:t>
            </w:r>
          </w:p>
        </w:tc>
        <w:tc>
          <w:tcPr>
            <w:tcW w:w="960" w:type="dxa"/>
            <w:vAlign w:val="center"/>
          </w:tcPr>
          <w:p>
            <w:pPr>
              <w:rPr>
                <w:rFonts w:hint="eastAsia" w:asciiTheme="minorEastAsia" w:hAnsiTheme="minorEastAsia" w:eastAsiaTheme="minorEastAsia" w:cstheme="minorEastAsia"/>
                <w:sz w:val="21"/>
                <w:szCs w:val="21"/>
              </w:rPr>
            </w:pPr>
            <w:r>
              <w:rPr>
                <w:rFonts w:hint="eastAsia"/>
                <w:color w:val="auto"/>
              </w:rPr>
              <w:t>EO5.3</w:t>
            </w:r>
          </w:p>
        </w:tc>
        <w:tc>
          <w:tcPr>
            <w:tcW w:w="10875" w:type="dxa"/>
            <w:vAlign w:val="center"/>
          </w:tcPr>
          <w:p>
            <w:pPr>
              <w:rPr>
                <w:rFonts w:hint="eastAsia" w:asciiTheme="minorEastAsia" w:hAnsiTheme="minorEastAsia" w:eastAsiaTheme="minorEastAsia" w:cstheme="minorEastAsia"/>
                <w:sz w:val="21"/>
                <w:szCs w:val="21"/>
              </w:rPr>
            </w:pPr>
            <w:r>
              <w:rPr>
                <w:rFonts w:hint="eastAsia"/>
                <w:color w:val="auto"/>
                <w:sz w:val="21"/>
                <w:szCs w:val="21"/>
              </w:rPr>
              <w:t>主管领导</w:t>
            </w:r>
            <w:r>
              <w:rPr>
                <w:rFonts w:hint="eastAsia"/>
                <w:color w:val="auto"/>
                <w:szCs w:val="22"/>
              </w:rPr>
              <w:t>：</w:t>
            </w:r>
            <w:r>
              <w:rPr>
                <w:rFonts w:hint="eastAsia" w:asciiTheme="minorEastAsia" w:hAnsiTheme="minorEastAsia" w:eastAsiaTheme="minorEastAsia" w:cstheme="minorEastAsia"/>
                <w:sz w:val="21"/>
                <w:szCs w:val="21"/>
                <w:lang w:val="en-US" w:eastAsia="zh-CN"/>
              </w:rPr>
              <w:t>闵定伟</w:t>
            </w:r>
            <w:r>
              <w:rPr>
                <w:rFonts w:hint="eastAsia"/>
                <w:color w:val="auto"/>
                <w:szCs w:val="22"/>
                <w:lang w:val="en-US" w:eastAsia="zh-CN"/>
              </w:rPr>
              <w:t>，该项目安装人员工3人，</w:t>
            </w:r>
            <w:r>
              <w:rPr>
                <w:rFonts w:hint="eastAsia"/>
                <w:color w:val="auto"/>
                <w:szCs w:val="22"/>
              </w:rPr>
              <w:t>主要负责</w:t>
            </w:r>
            <w:r>
              <w:rPr>
                <w:rFonts w:hint="eastAsia"/>
                <w:color w:val="auto"/>
                <w:szCs w:val="22"/>
                <w:lang w:val="en-US" w:eastAsia="zh-CN"/>
              </w:rPr>
              <w:t>售后安装调试</w:t>
            </w:r>
            <w:r>
              <w:rPr>
                <w:rFonts w:hint="eastAsia"/>
                <w:color w:val="auto"/>
                <w:szCs w:val="22"/>
              </w:rPr>
              <w:t>管理及</w:t>
            </w:r>
            <w:r>
              <w:rPr>
                <w:rFonts w:hint="eastAsia"/>
                <w:color w:val="auto"/>
                <w:szCs w:val="22"/>
                <w:lang w:val="en-US" w:eastAsia="zh-CN"/>
              </w:rPr>
              <w:t>涉及的</w:t>
            </w:r>
            <w:r>
              <w:rPr>
                <w:rFonts w:hint="eastAsia"/>
                <w:color w:val="auto"/>
              </w:rPr>
              <w:t>危险源</w:t>
            </w:r>
            <w:r>
              <w:rPr>
                <w:rFonts w:hint="eastAsia"/>
                <w:color w:val="auto"/>
                <w:lang w:eastAsia="zh-CN"/>
              </w:rPr>
              <w:t>、</w:t>
            </w:r>
            <w:r>
              <w:rPr>
                <w:rFonts w:hint="eastAsia"/>
                <w:color w:val="auto"/>
                <w:lang w:val="en-US" w:eastAsia="zh-CN"/>
              </w:rPr>
              <w:t>环境因素</w:t>
            </w:r>
            <w:r>
              <w:rPr>
                <w:rFonts w:hint="eastAsia"/>
                <w:color w:val="auto"/>
              </w:rPr>
              <w:t>识别</w:t>
            </w:r>
            <w:r>
              <w:rPr>
                <w:rFonts w:hint="eastAsia"/>
                <w:color w:val="auto"/>
                <w:lang w:val="en-US" w:eastAsia="zh-CN"/>
              </w:rPr>
              <w:t>等</w:t>
            </w:r>
            <w:r>
              <w:rPr>
                <w:rFonts w:hint="eastAsia"/>
                <w:color w:val="auto"/>
              </w:rPr>
              <w:t>控制。本部门的职责和权限清楚。</w:t>
            </w:r>
          </w:p>
        </w:tc>
        <w:tc>
          <w:tcPr>
            <w:tcW w:w="714"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color w:val="auto"/>
              </w:rPr>
              <w:t>目标</w:t>
            </w:r>
            <w:r>
              <w:rPr>
                <w:rFonts w:hint="eastAsia"/>
                <w:color w:val="auto"/>
                <w:lang w:val="en-US" w:eastAsia="zh-CN"/>
              </w:rPr>
              <w:t>及方案的达成</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color w:val="auto"/>
              </w:rPr>
              <w:t>EO6.2</w:t>
            </w:r>
          </w:p>
        </w:tc>
        <w:tc>
          <w:tcPr>
            <w:tcW w:w="10875" w:type="dxa"/>
            <w:vAlign w:val="center"/>
          </w:tcPr>
          <w:p>
            <w:pPr>
              <w:rPr>
                <w:rFonts w:hint="eastAsia" w:ascii="Times New Roman" w:hAnsi="Times New Roman"/>
                <w:color w:val="auto"/>
                <w:szCs w:val="22"/>
              </w:rPr>
            </w:pPr>
            <w:r>
              <w:rPr>
                <w:rFonts w:hint="eastAsia" w:ascii="Times New Roman" w:hAnsi="Times New Roman"/>
                <w:color w:val="auto"/>
              </w:rPr>
              <w:t>目标：</w:t>
            </w:r>
            <w:r>
              <w:rPr>
                <w:rFonts w:hint="eastAsia" w:ascii="Times New Roman" w:hAnsi="Times New Roman"/>
                <w:color w:val="auto"/>
                <w:szCs w:val="22"/>
              </w:rPr>
              <w:t xml:space="preserve">     </w:t>
            </w:r>
          </w:p>
          <w:p>
            <w:pPr>
              <w:rPr>
                <w:rFonts w:hint="eastAsia" w:ascii="Times New Roman" w:hAnsi="Times New Roman"/>
                <w:color w:val="auto"/>
                <w:szCs w:val="22"/>
              </w:rPr>
            </w:pPr>
            <w:r>
              <w:rPr>
                <w:rFonts w:hint="eastAsia" w:ascii="Times New Roman" w:hAnsi="Times New Roman"/>
                <w:color w:val="auto"/>
                <w:szCs w:val="22"/>
              </w:rPr>
              <w:t>1、</w:t>
            </w:r>
            <w:r>
              <w:rPr>
                <w:rFonts w:hint="eastAsia"/>
                <w:color w:val="auto"/>
                <w:szCs w:val="22"/>
                <w:lang w:val="en-US" w:eastAsia="zh-CN"/>
              </w:rPr>
              <w:t>产品安装及调试</w:t>
            </w:r>
            <w:r>
              <w:rPr>
                <w:rFonts w:hint="eastAsia" w:ascii="Times New Roman" w:hAnsi="Times New Roman"/>
                <w:color w:val="auto"/>
                <w:szCs w:val="22"/>
              </w:rPr>
              <w:t>合格率</w:t>
            </w:r>
            <w:r>
              <w:rPr>
                <w:rFonts w:hint="eastAsia"/>
                <w:color w:val="auto"/>
                <w:szCs w:val="22"/>
                <w:lang w:val="en-US" w:eastAsia="zh-CN"/>
              </w:rPr>
              <w:t>100</w:t>
            </w:r>
            <w:r>
              <w:rPr>
                <w:rFonts w:hint="eastAsia" w:ascii="Times New Roman" w:hAnsi="Times New Roman"/>
                <w:color w:val="auto"/>
                <w:szCs w:val="22"/>
              </w:rPr>
              <w:t>%；</w:t>
            </w:r>
          </w:p>
          <w:p>
            <w:pPr>
              <w:rPr>
                <w:rFonts w:hint="eastAsia" w:ascii="Times New Roman" w:hAnsi="Times New Roman"/>
                <w:color w:val="auto"/>
                <w:szCs w:val="22"/>
              </w:rPr>
            </w:pPr>
            <w:r>
              <w:rPr>
                <w:rFonts w:hint="eastAsia" w:ascii="Times New Roman" w:hAnsi="Times New Roman"/>
                <w:color w:val="auto"/>
                <w:szCs w:val="22"/>
              </w:rPr>
              <w:t>2、</w:t>
            </w:r>
            <w:r>
              <w:rPr>
                <w:rFonts w:hint="eastAsia"/>
                <w:color w:val="auto"/>
                <w:szCs w:val="22"/>
                <w:lang w:val="en-US" w:eastAsia="zh-CN"/>
              </w:rPr>
              <w:t>安装</w:t>
            </w:r>
            <w:r>
              <w:rPr>
                <w:rFonts w:hint="eastAsia" w:ascii="Times New Roman" w:hAnsi="Times New Roman"/>
                <w:color w:val="auto"/>
                <w:szCs w:val="22"/>
              </w:rPr>
              <w:t>任务按时完成率100%</w:t>
            </w:r>
          </w:p>
          <w:p>
            <w:pPr>
              <w:rPr>
                <w:rFonts w:hint="eastAsia" w:ascii="Times New Roman" w:hAnsi="Times New Roman"/>
                <w:color w:val="auto"/>
                <w:szCs w:val="22"/>
              </w:rPr>
            </w:pPr>
            <w:r>
              <w:rPr>
                <w:rFonts w:hint="eastAsia" w:ascii="Times New Roman" w:hAnsi="Times New Roman"/>
                <w:color w:val="auto"/>
                <w:szCs w:val="22"/>
                <w:lang w:val="en-US" w:eastAsia="zh-CN"/>
              </w:rPr>
              <w:t>3</w:t>
            </w:r>
            <w:r>
              <w:rPr>
                <w:rFonts w:hint="eastAsia" w:ascii="Times New Roman" w:hAnsi="Times New Roman"/>
                <w:color w:val="auto"/>
                <w:szCs w:val="22"/>
              </w:rPr>
              <w:t>、固体废物100%分类处理；</w:t>
            </w:r>
          </w:p>
          <w:p>
            <w:pPr>
              <w:rPr>
                <w:rFonts w:hint="eastAsia" w:ascii="Times New Roman" w:hAnsi="Times New Roman"/>
                <w:color w:val="auto"/>
                <w:szCs w:val="22"/>
              </w:rPr>
            </w:pPr>
            <w:r>
              <w:rPr>
                <w:rFonts w:hint="eastAsia" w:ascii="Times New Roman" w:hAnsi="Times New Roman"/>
                <w:color w:val="auto"/>
                <w:szCs w:val="22"/>
                <w:lang w:val="en-US" w:eastAsia="zh-CN"/>
              </w:rPr>
              <w:t>4</w:t>
            </w:r>
            <w:r>
              <w:rPr>
                <w:rFonts w:hint="eastAsia" w:ascii="Times New Roman" w:hAnsi="Times New Roman"/>
                <w:color w:val="auto"/>
                <w:szCs w:val="22"/>
              </w:rPr>
              <w:t>、火灾事故0</w:t>
            </w:r>
          </w:p>
          <w:p>
            <w:pPr>
              <w:rPr>
                <w:rFonts w:hint="eastAsia" w:ascii="Times New Roman" w:hAnsi="Times New Roman"/>
                <w:color w:val="auto"/>
                <w:szCs w:val="22"/>
              </w:rPr>
            </w:pPr>
            <w:r>
              <w:rPr>
                <w:rFonts w:hint="eastAsia" w:ascii="Times New Roman" w:hAnsi="Times New Roman"/>
                <w:color w:val="auto"/>
                <w:szCs w:val="22"/>
                <w:lang w:val="en-US" w:eastAsia="zh-CN"/>
              </w:rPr>
              <w:t>5. 触电</w:t>
            </w:r>
            <w:r>
              <w:rPr>
                <w:rFonts w:hint="eastAsia" w:ascii="Times New Roman" w:hAnsi="Times New Roman"/>
                <w:color w:val="auto"/>
                <w:szCs w:val="22"/>
              </w:rPr>
              <w:t>事故0</w:t>
            </w:r>
          </w:p>
          <w:p>
            <w:pPr>
              <w:rPr>
                <w:rFonts w:hint="default" w:ascii="Times New Roman" w:hAnsi="Times New Roman"/>
                <w:color w:val="auto"/>
                <w:szCs w:val="22"/>
                <w:lang w:val="en-US" w:eastAsia="zh-CN"/>
              </w:rPr>
            </w:pPr>
            <w:r>
              <w:rPr>
                <w:rFonts w:hint="eastAsia" w:ascii="Times New Roman" w:hAnsi="Times New Roman"/>
                <w:color w:val="auto"/>
                <w:szCs w:val="22"/>
                <w:lang w:val="en-US" w:eastAsia="zh-CN"/>
              </w:rPr>
              <w:t>6 机械伤害等事故，一年不超过5‰</w:t>
            </w:r>
          </w:p>
          <w:p>
            <w:pPr>
              <w:rPr>
                <w:rFonts w:hint="eastAsia" w:asciiTheme="minorEastAsia" w:hAnsiTheme="minorEastAsia" w:eastAsiaTheme="minorEastAsia" w:cstheme="minorEastAsia"/>
                <w:color w:val="auto"/>
                <w:sz w:val="21"/>
                <w:szCs w:val="21"/>
              </w:rPr>
            </w:pPr>
            <w:r>
              <w:rPr>
                <w:rFonts w:hint="eastAsia" w:ascii="Times New Roman" w:hAnsi="Times New Roman"/>
                <w:color w:val="auto"/>
              </w:rPr>
              <w:t>提供了2020年</w:t>
            </w:r>
            <w:r>
              <w:rPr>
                <w:rFonts w:hint="eastAsia"/>
                <w:color w:val="auto"/>
                <w:lang w:eastAsia="zh-CN"/>
              </w:rPr>
              <w:t>上半年</w:t>
            </w:r>
            <w:r>
              <w:rPr>
                <w:rFonts w:hint="eastAsia" w:ascii="Times New Roman" w:hAnsi="Times New Roman"/>
                <w:color w:val="auto"/>
              </w:rPr>
              <w:t>目标考核表</w:t>
            </w:r>
            <w:r>
              <w:rPr>
                <w:rFonts w:hint="eastAsia"/>
                <w:color w:val="auto"/>
                <w:lang w:eastAsia="zh-CN"/>
              </w:rPr>
              <w:t>，</w:t>
            </w:r>
            <w:r>
              <w:rPr>
                <w:rFonts w:hint="eastAsia"/>
                <w:color w:val="auto"/>
                <w:lang w:val="en-US" w:eastAsia="zh-CN"/>
              </w:rPr>
              <w:t>以上目标</w:t>
            </w:r>
            <w:r>
              <w:rPr>
                <w:rFonts w:hint="eastAsia"/>
                <w:color w:val="auto"/>
                <w:szCs w:val="22"/>
                <w:lang w:eastAsia="zh-CN"/>
              </w:rPr>
              <w:t>基本</w:t>
            </w:r>
            <w:r>
              <w:rPr>
                <w:rFonts w:hint="eastAsia"/>
                <w:color w:val="auto"/>
                <w:szCs w:val="22"/>
              </w:rPr>
              <w:t>完成</w:t>
            </w:r>
            <w:r>
              <w:rPr>
                <w:rFonts w:hint="eastAsia" w:ascii="Times New Roman" w:hAnsi="Times New Roman"/>
                <w:color w:val="auto"/>
              </w:rPr>
              <w:t>。</w:t>
            </w:r>
          </w:p>
        </w:tc>
        <w:tc>
          <w:tcPr>
            <w:tcW w:w="714"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环境因素</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危险源</w:t>
            </w:r>
          </w:p>
        </w:tc>
        <w:tc>
          <w:tcPr>
            <w:tcW w:w="960" w:type="dxa"/>
            <w:vAlign w:val="top"/>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w:t>
            </w:r>
            <w:r>
              <w:rPr>
                <w:rFonts w:hint="eastAsia" w:asciiTheme="minorEastAsia" w:hAnsiTheme="minorEastAsia" w:eastAsiaTheme="minorEastAsia" w:cstheme="minorEastAsia"/>
                <w:bCs/>
                <w:sz w:val="21"/>
                <w:szCs w:val="21"/>
                <w:lang w:val="en-US" w:eastAsia="zh-CN"/>
              </w:rPr>
              <w:t>O</w:t>
            </w:r>
            <w:r>
              <w:rPr>
                <w:rFonts w:hint="eastAsia" w:asciiTheme="minorEastAsia" w:hAnsiTheme="minorEastAsia" w:eastAsiaTheme="minorEastAsia" w:cstheme="minorEastAsia"/>
                <w:bCs/>
                <w:sz w:val="21"/>
                <w:szCs w:val="21"/>
              </w:rPr>
              <w:t>6.1.2</w:t>
            </w:r>
          </w:p>
          <w:p>
            <w:pPr>
              <w:spacing w:line="360" w:lineRule="auto"/>
              <w:rPr>
                <w:rFonts w:hint="eastAsia" w:asciiTheme="minorEastAsia" w:hAnsiTheme="minorEastAsia" w:eastAsiaTheme="minorEastAsia" w:cstheme="minorEastAsia"/>
                <w:sz w:val="21"/>
                <w:szCs w:val="21"/>
              </w:rPr>
            </w:pPr>
          </w:p>
        </w:tc>
        <w:tc>
          <w:tcPr>
            <w:tcW w:w="10875" w:type="dxa"/>
            <w:vAlign w:val="top"/>
          </w:tcPr>
          <w:p>
            <w:pPr>
              <w:snapToGrid w:val="0"/>
              <w:spacing w:line="360" w:lineRule="auto"/>
              <w:ind w:right="392"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rPr>
              <w:t>环境因素识别与评价表，采用评分标准以打分的方式评价重要环境因素，评价出的重要环境因素为：潜在火灾、固废排放等。</w:t>
            </w:r>
          </w:p>
          <w:p>
            <w:pPr>
              <w:snapToGrid w:val="0"/>
              <w:spacing w:line="360" w:lineRule="auto"/>
              <w:ind w:right="392"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策划通过运行控制、管理方案、培训教育、应急预案等对重大环境因素实施控制，基本适宜</w:t>
            </w:r>
            <w:r>
              <w:rPr>
                <w:rFonts w:hint="eastAsia" w:asciiTheme="minorEastAsia" w:hAnsiTheme="minorEastAsia" w:eastAsiaTheme="minorEastAsia" w:cstheme="minorEastAsia"/>
                <w:sz w:val="21"/>
                <w:szCs w:val="21"/>
                <w:lang w:eastAsia="zh-CN"/>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rPr>
              <w:t>职业安全健康管理体系危害辨识、风险评价、风险控制工作表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本部门</w:t>
            </w:r>
            <w:r>
              <w:rPr>
                <w:rFonts w:hint="eastAsia" w:asciiTheme="minorEastAsia" w:hAnsiTheme="minorEastAsia" w:eastAsiaTheme="minorEastAsia" w:cstheme="minorEastAsia"/>
                <w:sz w:val="21"/>
                <w:szCs w:val="21"/>
              </w:rPr>
              <w:t>危险源有：触电、</w:t>
            </w:r>
            <w:r>
              <w:rPr>
                <w:rFonts w:hint="eastAsia" w:asciiTheme="minorEastAsia" w:hAnsiTheme="minorEastAsia" w:eastAsiaTheme="minorEastAsia" w:cstheme="minorEastAsia"/>
                <w:sz w:val="21"/>
                <w:szCs w:val="21"/>
                <w:lang w:val="en-US" w:eastAsia="zh-CN"/>
              </w:rPr>
              <w:t>物体砸伤等</w:t>
            </w:r>
            <w:r>
              <w:rPr>
                <w:rFonts w:hint="eastAsia" w:asciiTheme="minorEastAsia" w:hAnsiTheme="minorEastAsia" w:eastAsiaTheme="minorEastAsia" w:cstheme="minorEastAsia"/>
                <w:sz w:val="21"/>
                <w:szCs w:val="21"/>
              </w:rPr>
              <w:t>意外伤害、火灾等。不可接受风险识别有：火灾、触电等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危险源识别经核实基本齐全，重大危险源评价基本合理。</w:t>
            </w:r>
          </w:p>
        </w:tc>
        <w:tc>
          <w:tcPr>
            <w:tcW w:w="714"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color w:val="auto"/>
              </w:rPr>
              <w:t>运行的策划和控制</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8.1</w:t>
            </w:r>
          </w:p>
        </w:tc>
        <w:tc>
          <w:tcPr>
            <w:tcW w:w="10875" w:type="dxa"/>
            <w:vAlign w:val="center"/>
          </w:tcPr>
          <w:p>
            <w:pPr>
              <w:numPr>
                <w:ilvl w:val="0"/>
                <w:numId w:val="1"/>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见执行法律法规清单：</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金属家具通用技术条件GB/T3325-2017</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防盗保险柜国家标准</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GB10409—2001</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金库门通用技术条件</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GA/T143—1996</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金库门</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JR/T 0001-2000</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钢制文件柜技术条件</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QB1097—2010</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课桌椅</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QB/T3916-1999</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钢制书架第3部分：手动密集书架</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GB/T13667.3-2013</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钢制书架第4部分：电动密集书架</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GB/T13667.4-2013</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钢制书架第1部分：单、复柱书架</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GB/T13667.1-2015</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枪支弹药专用保险柜</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GA 1051-2013</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涂装作业安全规程-静电喷漆工业安全</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GB12367—2006</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钢制书柜、资料柜通用技术条件</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GB/T13668-2015</w:t>
            </w:r>
          </w:p>
          <w:p>
            <w:pPr>
              <w:pStyle w:val="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江西省消防条例</w:t>
            </w:r>
          </w:p>
          <w:p>
            <w:pPr>
              <w:pStyle w:val="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江西省安全生产条例</w:t>
            </w:r>
          </w:p>
          <w:p>
            <w:pPr>
              <w:pStyle w:val="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宜春市建设工程消防管理规定</w:t>
            </w:r>
          </w:p>
          <w:p>
            <w:pPr>
              <w:pStyle w:val="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江西省突发事件应急预案管理实施办法</w:t>
            </w:r>
          </w:p>
          <w:p>
            <w:pPr>
              <w:pStyle w:val="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江西省生产安全事故报告和调查处理规定</w:t>
            </w:r>
          </w:p>
          <w:p>
            <w:pPr>
              <w:pStyle w:val="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GB/T 11651-2008个体防护装备选用规范</w:t>
            </w:r>
          </w:p>
          <w:p>
            <w:pPr>
              <w:pStyle w:val="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江西省环境保护条例</w:t>
            </w:r>
          </w:p>
          <w:p>
            <w:pPr>
              <w:pStyle w:val="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p>
            <w:pPr>
              <w:pStyle w:val="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二</w:t>
            </w:r>
            <w:r>
              <w:rPr>
                <w:rFonts w:hint="eastAsia" w:asciiTheme="minorEastAsia" w:hAnsiTheme="minorEastAsia" w:eastAsiaTheme="minorEastAsia" w:cstheme="minorEastAsia"/>
                <w:sz w:val="21"/>
                <w:szCs w:val="21"/>
                <w:lang w:val="en-US" w:eastAsia="zh-CN"/>
              </w:rPr>
              <w:t>、安装流程（通用）：</w:t>
            </w:r>
          </w:p>
          <w:p>
            <w:pPr>
              <w:pStyle w:val="4"/>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地面铺装——预埋轨道——安装底盘——装配电机、传动抽——安装立柱、隔板、挂板——安装门板锁具——调试验收</w:t>
            </w:r>
          </w:p>
          <w:p>
            <w:pPr>
              <w:pStyle w:val="4"/>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关键过程：调试验收   有验收记录</w:t>
            </w:r>
          </w:p>
          <w:p>
            <w:pPr>
              <w:pStyle w:val="4"/>
              <w:ind w:left="0" w:leftChars="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特殊过程：无</w:t>
            </w:r>
          </w:p>
          <w:p>
            <w:pPr>
              <w:spacing w:line="360" w:lineRule="exact"/>
              <w:rPr>
                <w:rFonts w:hint="default"/>
                <w:color w:val="auto"/>
                <w:lang w:val="en-US" w:eastAsia="zh-CN"/>
              </w:rPr>
            </w:pPr>
            <w:r>
              <w:rPr>
                <w:rFonts w:hint="eastAsia"/>
                <w:color w:val="auto"/>
                <w:lang w:val="en-US" w:eastAsia="zh-CN"/>
              </w:rPr>
              <w:t>安装现场观察、文件查询、人员沟通如下：</w:t>
            </w:r>
          </w:p>
          <w:p>
            <w:pPr>
              <w:pStyle w:val="2"/>
              <w:numPr>
                <w:ilvl w:val="0"/>
                <w:numId w:val="2"/>
              </w:numPr>
              <w:rPr>
                <w:rFonts w:hint="default"/>
                <w:lang w:val="en-US" w:eastAsia="zh-CN"/>
              </w:rPr>
            </w:pPr>
            <w:r>
              <w:rPr>
                <w:rFonts w:hint="default"/>
                <w:lang w:val="en-US" w:eastAsia="zh-CN"/>
              </w:rPr>
              <w:t>密集架的安装的安装与调试 流程：</w:t>
            </w:r>
          </w:p>
          <w:p>
            <w:pPr>
              <w:pStyle w:val="2"/>
              <w:numPr>
                <w:ilvl w:val="0"/>
                <w:numId w:val="0"/>
              </w:numPr>
              <w:rPr>
                <w:rFonts w:hint="eastAsia"/>
                <w:lang w:val="en-US" w:eastAsia="zh-CN"/>
              </w:rPr>
            </w:pPr>
            <w:r>
              <w:rPr>
                <w:rFonts w:hint="default"/>
                <w:lang w:val="en-US" w:eastAsia="zh-CN"/>
              </w:rPr>
              <w:t>地面铺装</w:t>
            </w:r>
            <w:r>
              <w:rPr>
                <w:rFonts w:hint="default" w:ascii="Arial" w:hAnsi="Arial" w:cs="Arial"/>
                <w:lang w:val="en-US" w:eastAsia="zh-CN"/>
              </w:rPr>
              <w:t>→</w:t>
            </w:r>
            <w:r>
              <w:rPr>
                <w:rFonts w:hint="eastAsia"/>
                <w:lang w:val="en-US" w:eastAsia="zh-CN"/>
              </w:rPr>
              <w:t xml:space="preserve"> </w:t>
            </w:r>
            <w:r>
              <w:rPr>
                <w:rFonts w:hint="default"/>
                <w:lang w:val="en-US" w:eastAsia="zh-CN"/>
              </w:rPr>
              <w:t>架体安装及布线</w:t>
            </w:r>
            <w:r>
              <w:rPr>
                <w:rFonts w:hint="default" w:ascii="Arial" w:hAnsi="Arial" w:cs="Arial"/>
                <w:lang w:val="en-US" w:eastAsia="zh-CN"/>
              </w:rPr>
              <w:t>→</w:t>
            </w:r>
            <w:r>
              <w:rPr>
                <w:rFonts w:hint="eastAsia" w:ascii="Arial" w:hAnsi="Arial" w:cs="Arial"/>
                <w:lang w:val="en-US" w:eastAsia="zh-CN"/>
              </w:rPr>
              <w:t xml:space="preserve"> </w:t>
            </w:r>
            <w:r>
              <w:rPr>
                <w:rFonts w:hint="default"/>
                <w:lang w:val="en-US" w:eastAsia="zh-CN"/>
              </w:rPr>
              <w:t>层板、挂板及搁板安装</w:t>
            </w:r>
            <w:r>
              <w:rPr>
                <w:rFonts w:hint="default" w:ascii="Arial" w:hAnsi="Arial" w:cs="Arial"/>
                <w:lang w:val="en-US" w:eastAsia="zh-CN"/>
              </w:rPr>
              <w:t>→</w:t>
            </w:r>
            <w:r>
              <w:rPr>
                <w:rFonts w:hint="eastAsia" w:ascii="Arial" w:hAnsi="Arial" w:cs="Arial"/>
                <w:lang w:val="en-US" w:eastAsia="zh-CN"/>
              </w:rPr>
              <w:t xml:space="preserve"> </w:t>
            </w:r>
            <w:r>
              <w:rPr>
                <w:rFonts w:hint="default"/>
                <w:lang w:val="en-US" w:eastAsia="zh-CN"/>
              </w:rPr>
              <w:t>门板锁具安装</w:t>
            </w:r>
            <w:r>
              <w:rPr>
                <w:rFonts w:hint="default" w:ascii="Arial" w:hAnsi="Arial" w:cs="Arial"/>
                <w:lang w:val="en-US" w:eastAsia="zh-CN"/>
              </w:rPr>
              <w:t>→</w:t>
            </w:r>
            <w:r>
              <w:rPr>
                <w:rFonts w:hint="eastAsia" w:ascii="Arial" w:hAnsi="Arial" w:cs="Arial"/>
                <w:lang w:val="en-US" w:eastAsia="zh-CN"/>
              </w:rPr>
              <w:t xml:space="preserve"> </w:t>
            </w:r>
            <w:r>
              <w:rPr>
                <w:rFonts w:hint="default"/>
                <w:lang w:val="en-US" w:eastAsia="zh-CN"/>
              </w:rPr>
              <w:t>智能系统嵌入</w:t>
            </w:r>
            <w:r>
              <w:rPr>
                <w:rFonts w:hint="default" w:ascii="Arial" w:hAnsi="Arial" w:cs="Arial"/>
                <w:lang w:val="en-US" w:eastAsia="zh-CN"/>
              </w:rPr>
              <w:t>→</w:t>
            </w:r>
            <w:r>
              <w:rPr>
                <w:rFonts w:hint="eastAsia" w:ascii="Arial" w:hAnsi="Arial" w:cs="Arial"/>
                <w:lang w:val="en-US" w:eastAsia="zh-CN"/>
              </w:rPr>
              <w:t xml:space="preserve"> </w:t>
            </w:r>
            <w:r>
              <w:rPr>
                <w:rFonts w:hint="default"/>
                <w:lang w:val="en-US" w:eastAsia="zh-CN"/>
              </w:rPr>
              <w:t>系统调试</w:t>
            </w:r>
            <w:r>
              <w:rPr>
                <w:rFonts w:hint="eastAsia"/>
                <w:lang w:val="en-US" w:eastAsia="zh-CN"/>
              </w:rPr>
              <w:t>验收</w:t>
            </w:r>
          </w:p>
          <w:p>
            <w:pPr>
              <w:pStyle w:val="2"/>
              <w:numPr>
                <w:ilvl w:val="0"/>
                <w:numId w:val="0"/>
              </w:numPr>
              <w:rPr>
                <w:rFonts w:hint="default"/>
                <w:color w:val="FF0000"/>
                <w:lang w:val="en-US" w:eastAsia="zh-CN"/>
              </w:rPr>
            </w:pPr>
            <w:r>
              <w:rPr>
                <w:rFonts w:hint="eastAsia"/>
                <w:lang w:val="en-US" w:eastAsia="zh-CN"/>
              </w:rPr>
              <w:t>正在进行的过程：系统调试</w:t>
            </w:r>
            <w:r>
              <w:rPr>
                <w:rFonts w:hint="eastAsia"/>
                <w:color w:val="auto"/>
                <w:lang w:val="en-US" w:eastAsia="zh-CN"/>
              </w:rPr>
              <w:t>，</w:t>
            </w:r>
            <w:r>
              <w:rPr>
                <w:rFonts w:hint="default"/>
                <w:color w:val="auto"/>
                <w:lang w:val="en-US" w:eastAsia="zh-CN"/>
              </w:rPr>
              <w:t>现场安装人员：</w:t>
            </w:r>
            <w:r>
              <w:rPr>
                <w:rFonts w:hint="eastAsia"/>
                <w:color w:val="auto"/>
                <w:lang w:val="en-US" w:eastAsia="zh-CN"/>
              </w:rPr>
              <w:t>闵定伟、黄顺田。</w:t>
            </w:r>
          </w:p>
          <w:p>
            <w:pPr>
              <w:numPr>
                <w:ilvl w:val="0"/>
                <w:numId w:val="0"/>
              </w:numPr>
              <w:jc w:val="left"/>
              <w:rPr>
                <w:rFonts w:hint="default"/>
                <w:color w:val="FF0000"/>
                <w:lang w:val="en-US" w:eastAsia="zh-CN"/>
              </w:rPr>
            </w:pPr>
            <w:r>
              <w:rPr>
                <w:rFonts w:hint="eastAsia" w:asciiTheme="minorEastAsia" w:hAnsiTheme="minorEastAsia" w:eastAsiaTheme="minorEastAsia" w:cstheme="minorEastAsia"/>
                <w:color w:val="auto"/>
                <w:sz w:val="21"/>
                <w:szCs w:val="21"/>
                <w:lang w:val="en-US" w:eastAsia="zh-CN"/>
              </w:rPr>
              <w:t>安装工具：电钻、螺丝刀、锤子、扳手、角磨机、老虎钳、铆钉枪等；测量器具有卷尺，钢直尺，万用表等</w:t>
            </w:r>
          </w:p>
          <w:p>
            <w:pPr>
              <w:pStyle w:val="2"/>
              <w:numPr>
                <w:ilvl w:val="0"/>
                <w:numId w:val="0"/>
              </w:numPr>
              <w:rPr>
                <w:rFonts w:hint="default" w:asciiTheme="minorEastAsia" w:hAnsiTheme="minorEastAsia" w:eastAsiaTheme="minorEastAsia" w:cstheme="minorEastAsia"/>
                <w:color w:val="auto"/>
                <w:sz w:val="21"/>
                <w:szCs w:val="21"/>
                <w:lang w:val="en-US" w:eastAsia="zh-CN"/>
              </w:rPr>
            </w:pPr>
            <w:r>
              <w:drawing>
                <wp:inline distT="0" distB="0" distL="114300" distR="114300">
                  <wp:extent cx="1255395" cy="1644015"/>
                  <wp:effectExtent l="0" t="0" r="1905"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rcRect t="23266" r="21950"/>
                          <a:stretch>
                            <a:fillRect/>
                          </a:stretch>
                        </pic:blipFill>
                        <pic:spPr>
                          <a:xfrm>
                            <a:off x="0" y="0"/>
                            <a:ext cx="1255395" cy="164401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995680" cy="1601470"/>
                  <wp:effectExtent l="0" t="0" r="13970" b="177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995680" cy="160147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202055" cy="1597025"/>
                  <wp:effectExtent l="0" t="0" r="17145" b="31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1202055" cy="1597025"/>
                          </a:xfrm>
                          <a:prstGeom prst="rect">
                            <a:avLst/>
                          </a:prstGeom>
                          <a:noFill/>
                          <a:ln>
                            <a:noFill/>
                          </a:ln>
                        </pic:spPr>
                      </pic:pic>
                    </a:graphicData>
                  </a:graphic>
                </wp:inline>
              </w:drawing>
            </w:r>
          </w:p>
          <w:p>
            <w:pPr>
              <w:pStyle w:val="2"/>
              <w:rPr>
                <w:rFonts w:hint="eastAsia" w:asciiTheme="minorEastAsia" w:hAnsiTheme="minorEastAsia" w:eastAsiaTheme="minorEastAsia" w:cstheme="minorEastAsia"/>
                <w:color w:val="auto"/>
                <w:sz w:val="21"/>
                <w:szCs w:val="21"/>
                <w:lang w:val="en-US" w:eastAsia="zh-CN"/>
              </w:rPr>
            </w:pPr>
            <w:r>
              <w:rPr>
                <w:rFonts w:hint="default"/>
                <w:lang w:val="en-US" w:eastAsia="zh-CN"/>
              </w:rPr>
              <w:t>2、书架</w:t>
            </w:r>
            <w:r>
              <w:rPr>
                <w:rFonts w:hint="eastAsia"/>
                <w:lang w:val="en-US" w:eastAsia="zh-CN"/>
              </w:rPr>
              <w:t xml:space="preserve">   </w:t>
            </w:r>
            <w:r>
              <w:rPr>
                <w:rFonts w:hint="eastAsia" w:asciiTheme="minorEastAsia" w:hAnsiTheme="minorEastAsia" w:eastAsiaTheme="minorEastAsia" w:cstheme="minorEastAsia"/>
                <w:sz w:val="21"/>
                <w:szCs w:val="21"/>
                <w:lang w:val="en-US" w:eastAsia="zh-CN"/>
              </w:rPr>
              <w:t>安装流程：架体安装→层板</w:t>
            </w:r>
            <w:r>
              <w:rPr>
                <w:rFonts w:hint="eastAsia" w:asciiTheme="minorEastAsia" w:hAnsiTheme="minorEastAsia" w:eastAsiaTheme="minorEastAsia" w:cstheme="minorEastAsia"/>
                <w:color w:val="auto"/>
                <w:sz w:val="21"/>
                <w:szCs w:val="21"/>
                <w:lang w:val="en-US" w:eastAsia="zh-CN"/>
              </w:rPr>
              <w:t>、挂板安装→检验验收</w:t>
            </w:r>
          </w:p>
          <w:p>
            <w:pPr>
              <w:pStyle w:val="2"/>
              <w:rPr>
                <w:rFonts w:hint="eastAsia"/>
                <w:lang w:val="en-US" w:eastAsia="zh-CN"/>
              </w:rPr>
            </w:pPr>
            <w:r>
              <w:rPr>
                <w:rFonts w:hint="eastAsia"/>
                <w:color w:val="auto"/>
                <w:lang w:val="en-US" w:eastAsia="zh-CN"/>
              </w:rPr>
              <w:t>正在进行的过程：系统调试，</w:t>
            </w:r>
            <w:r>
              <w:rPr>
                <w:rFonts w:hint="default"/>
                <w:color w:val="auto"/>
                <w:lang w:val="en-US" w:eastAsia="zh-CN"/>
              </w:rPr>
              <w:t>现场安装人员：</w:t>
            </w:r>
            <w:r>
              <w:rPr>
                <w:rFonts w:hint="eastAsia"/>
                <w:color w:val="auto"/>
                <w:lang w:val="en-US" w:eastAsia="zh-CN"/>
              </w:rPr>
              <w:t>闵定伟、黄顺田、王勇。</w:t>
            </w:r>
          </w:p>
          <w:p>
            <w:pPr>
              <w:numPr>
                <w:ilvl w:val="0"/>
                <w:numId w:val="0"/>
              </w:numPr>
              <w:jc w:val="left"/>
              <w:rPr>
                <w:rFonts w:hint="eastAsia"/>
                <w:lang w:val="en-US" w:eastAsia="zh-CN"/>
              </w:rPr>
            </w:pPr>
            <w:r>
              <w:rPr>
                <w:rFonts w:hint="eastAsia" w:asciiTheme="minorEastAsia" w:hAnsiTheme="minorEastAsia" w:eastAsiaTheme="minorEastAsia" w:cstheme="minorEastAsia"/>
                <w:color w:val="auto"/>
                <w:sz w:val="21"/>
                <w:szCs w:val="21"/>
                <w:lang w:val="en-US" w:eastAsia="zh-CN"/>
              </w:rPr>
              <w:t>所需工具：电钻、螺丝刀、锤子、扳手、角磨机、老虎钳、铆钉枪；测量器具有卷尺，钢直尺等</w:t>
            </w:r>
          </w:p>
          <w:p>
            <w:pPr>
              <w:pStyle w:val="2"/>
              <w:rPr>
                <w:rFonts w:hint="default"/>
                <w:lang w:val="en-US" w:eastAsia="zh-CN"/>
              </w:rPr>
            </w:pPr>
          </w:p>
          <w:p>
            <w:pPr>
              <w:pStyle w:val="2"/>
              <w:rPr>
                <w:rFonts w:hint="default"/>
                <w:lang w:val="en-US" w:eastAsia="zh-CN"/>
              </w:rPr>
            </w:pPr>
            <w:r>
              <w:drawing>
                <wp:inline distT="0" distB="0" distL="114300" distR="114300">
                  <wp:extent cx="1237615" cy="1551940"/>
                  <wp:effectExtent l="0" t="0" r="635" b="1016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1237615" cy="155194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124585" cy="1473835"/>
                  <wp:effectExtent l="0" t="0" r="18415" b="1206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1124585" cy="1473835"/>
                          </a:xfrm>
                          <a:prstGeom prst="rect">
                            <a:avLst/>
                          </a:prstGeom>
                          <a:noFill/>
                          <a:ln>
                            <a:noFill/>
                          </a:ln>
                        </pic:spPr>
                      </pic:pic>
                    </a:graphicData>
                  </a:graphic>
                </wp:inline>
              </w:drawing>
            </w:r>
          </w:p>
          <w:p>
            <w:pPr>
              <w:pStyle w:val="2"/>
              <w:numPr>
                <w:ilvl w:val="0"/>
                <w:numId w:val="0"/>
              </w:numPr>
              <w:ind w:leftChars="0"/>
              <w:rPr>
                <w:rFonts w:hint="default"/>
                <w:color w:val="auto"/>
                <w:lang w:val="en-US" w:eastAsia="zh-CN"/>
              </w:rPr>
            </w:pPr>
            <w:r>
              <w:rPr>
                <w:rFonts w:hint="eastAsia"/>
                <w:lang w:val="en-US" w:eastAsia="zh-CN"/>
              </w:rPr>
              <w:t>3、</w:t>
            </w:r>
            <w:r>
              <w:rPr>
                <w:rFonts w:hint="default"/>
                <w:lang w:val="en-US" w:eastAsia="zh-CN"/>
              </w:rPr>
              <w:t>阅</w:t>
            </w:r>
            <w:r>
              <w:rPr>
                <w:rFonts w:hint="default"/>
                <w:color w:val="auto"/>
                <w:lang w:val="en-US" w:eastAsia="zh-CN"/>
              </w:rPr>
              <w:t>览桌椅</w:t>
            </w:r>
          </w:p>
          <w:p>
            <w:pPr>
              <w:numPr>
                <w:ilvl w:val="0"/>
                <w:numId w:val="0"/>
              </w:numPr>
              <w:rPr>
                <w:rFonts w:hint="default"/>
                <w:lang w:val="en-US" w:eastAsia="zh-CN"/>
              </w:rPr>
            </w:pPr>
            <w:r>
              <w:rPr>
                <w:rFonts w:hint="eastAsia" w:asciiTheme="minorEastAsia" w:hAnsiTheme="minorEastAsia" w:eastAsiaTheme="minorEastAsia" w:cstheme="minorEastAsia"/>
                <w:color w:val="auto"/>
                <w:sz w:val="21"/>
                <w:szCs w:val="21"/>
                <w:lang w:val="en-US" w:eastAsia="zh-CN"/>
              </w:rPr>
              <w:t>安装流程：打开包装→组装→验收</w:t>
            </w:r>
          </w:p>
          <w:p>
            <w:pPr>
              <w:pStyle w:val="2"/>
              <w:rPr>
                <w:rFonts w:hint="eastAsia"/>
                <w:lang w:val="en-US" w:eastAsia="zh-CN"/>
              </w:rPr>
            </w:pPr>
            <w:r>
              <w:rPr>
                <w:rFonts w:hint="eastAsia"/>
                <w:color w:val="auto"/>
                <w:lang w:val="en-US" w:eastAsia="zh-CN"/>
              </w:rPr>
              <w:t>正在进行的过程：阅览桌组装，</w:t>
            </w:r>
            <w:r>
              <w:rPr>
                <w:rFonts w:hint="default"/>
                <w:color w:val="auto"/>
                <w:lang w:val="en-US" w:eastAsia="zh-CN"/>
              </w:rPr>
              <w:t>现场安装人员：</w:t>
            </w:r>
            <w:r>
              <w:rPr>
                <w:rFonts w:hint="eastAsia"/>
                <w:color w:val="auto"/>
                <w:lang w:val="en-US" w:eastAsia="zh-CN"/>
              </w:rPr>
              <w:t>黄顺田、王勇。</w:t>
            </w:r>
          </w:p>
          <w:p>
            <w:pPr>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所需工具：电钻、螺丝刀、锤子、扳手、角磨机、老虎钳、铆钉枪；测量器具有卷尺，钢直尺等</w:t>
            </w:r>
          </w:p>
          <w:p>
            <w:pPr>
              <w:pStyle w:val="2"/>
              <w:rPr>
                <w:rFonts w:hint="eastAsia"/>
              </w:rPr>
            </w:pPr>
          </w:p>
          <w:p>
            <w:pPr>
              <w:pStyle w:val="2"/>
              <w:rPr>
                <w:rFonts w:hint="eastAsia"/>
                <w:color w:val="auto"/>
              </w:rPr>
            </w:pPr>
            <w:r>
              <w:rPr>
                <w:rFonts w:hint="eastAsia" w:eastAsia="宋体"/>
                <w:color w:val="auto"/>
                <w:lang w:eastAsia="zh-CN"/>
              </w:rPr>
              <w:drawing>
                <wp:inline distT="0" distB="0" distL="114300" distR="114300">
                  <wp:extent cx="1369060" cy="1026795"/>
                  <wp:effectExtent l="0" t="0" r="1905" b="2540"/>
                  <wp:docPr id="18" name="图片 18" descr="8e755a0949e277f7c44c90df477aa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8e755a0949e277f7c44c90df477aaf2"/>
                          <pic:cNvPicPr>
                            <a:picLocks noChangeAspect="1"/>
                          </pic:cNvPicPr>
                        </pic:nvPicPr>
                        <pic:blipFill>
                          <a:blip r:embed="rId11"/>
                          <a:stretch>
                            <a:fillRect/>
                          </a:stretch>
                        </pic:blipFill>
                        <pic:spPr>
                          <a:xfrm rot="5400000">
                            <a:off x="0" y="0"/>
                            <a:ext cx="1369060" cy="1026795"/>
                          </a:xfrm>
                          <a:prstGeom prst="rect">
                            <a:avLst/>
                          </a:prstGeom>
                        </pic:spPr>
                      </pic:pic>
                    </a:graphicData>
                  </a:graphic>
                </wp:inline>
              </w:drawing>
            </w:r>
          </w:p>
          <w:p>
            <w:pPr>
              <w:spacing w:line="360" w:lineRule="exact"/>
              <w:rPr>
                <w:rFonts w:hint="eastAsia" w:eastAsia="宋体"/>
                <w:color w:val="auto"/>
                <w:lang w:val="en-US" w:eastAsia="zh-CN"/>
              </w:rPr>
            </w:pPr>
            <w:r>
              <w:rPr>
                <w:rFonts w:hint="eastAsia"/>
                <w:color w:val="auto"/>
                <w:lang w:val="en-US" w:eastAsia="zh-CN"/>
              </w:rPr>
              <w:t>三、</w:t>
            </w:r>
            <w:r>
              <w:rPr>
                <w:rFonts w:hint="eastAsia"/>
                <w:color w:val="auto"/>
              </w:rPr>
              <w:t>运行的策划和控制</w:t>
            </w:r>
            <w:r>
              <w:rPr>
                <w:rFonts w:hint="eastAsia"/>
                <w:color w:val="auto"/>
                <w:lang w:val="en-US" w:eastAsia="zh-CN"/>
              </w:rPr>
              <w:t>如下：</w:t>
            </w:r>
          </w:p>
          <w:p>
            <w:pPr>
              <w:spacing w:line="360" w:lineRule="exact"/>
              <w:ind w:firstLine="210" w:firstLineChars="100"/>
              <w:rPr>
                <w:rFonts w:hint="eastAsia"/>
                <w:color w:val="auto"/>
              </w:rPr>
            </w:pPr>
            <w:r>
              <w:rPr>
                <w:rFonts w:hint="eastAsia"/>
                <w:color w:val="auto"/>
              </w:rPr>
              <w:t>1、办公生活污水控制：直接排入办公区域所属市政管网</w:t>
            </w:r>
          </w:p>
          <w:p>
            <w:pPr>
              <w:spacing w:line="360" w:lineRule="exact"/>
              <w:ind w:right="13" w:rightChars="6" w:firstLine="210" w:firstLineChars="100"/>
              <w:rPr>
                <w:rFonts w:hint="eastAsia"/>
                <w:color w:val="auto"/>
                <w:lang w:eastAsia="zh-CN"/>
              </w:rPr>
            </w:pPr>
            <w:r>
              <w:rPr>
                <w:rFonts w:hint="eastAsia"/>
                <w:color w:val="auto"/>
              </w:rPr>
              <w:t>2、噪声控制：无明显噪声(噪声主要来源</w:t>
            </w:r>
            <w:r>
              <w:rPr>
                <w:rFonts w:hint="eastAsia"/>
                <w:color w:val="auto"/>
                <w:lang w:val="en-US" w:eastAsia="zh-CN"/>
              </w:rPr>
              <w:t>安装、调试</w:t>
            </w:r>
            <w:r>
              <w:rPr>
                <w:rFonts w:hint="eastAsia"/>
                <w:color w:val="auto"/>
              </w:rPr>
              <w:t>产生的噪声)。</w:t>
            </w:r>
          </w:p>
          <w:p>
            <w:pPr>
              <w:spacing w:line="360" w:lineRule="exact"/>
              <w:ind w:right="13" w:rightChars="6" w:firstLine="210" w:firstLineChars="100"/>
              <w:rPr>
                <w:rFonts w:hint="eastAsia"/>
                <w:color w:val="auto"/>
                <w:szCs w:val="22"/>
              </w:rPr>
            </w:pPr>
            <w:r>
              <w:rPr>
                <w:rFonts w:hint="eastAsia"/>
                <w:color w:val="auto"/>
                <w:lang w:val="en-US" w:eastAsia="zh-CN"/>
              </w:rPr>
              <w:t>3、</w:t>
            </w:r>
            <w:r>
              <w:rPr>
                <w:rFonts w:hint="eastAsia"/>
                <w:color w:val="auto"/>
              </w:rPr>
              <w:t>固废控制：有对</w:t>
            </w:r>
            <w:r>
              <w:rPr>
                <w:rFonts w:hint="eastAsia"/>
                <w:color w:val="auto"/>
                <w:lang w:val="en-US" w:eastAsia="zh-CN"/>
              </w:rPr>
              <w:t>包装等</w:t>
            </w:r>
            <w:r>
              <w:rPr>
                <w:rFonts w:hint="eastAsia"/>
                <w:color w:val="auto"/>
              </w:rPr>
              <w:t>固</w:t>
            </w:r>
            <w:r>
              <w:rPr>
                <w:rFonts w:hint="eastAsia"/>
                <w:color w:val="auto"/>
                <w:szCs w:val="22"/>
              </w:rPr>
              <w:t>体废弃物分类处理，按“可回收”和“不可回收”垃圾统一集中到指定垃圾桶内。</w:t>
            </w:r>
          </w:p>
          <w:p>
            <w:pPr>
              <w:spacing w:line="360" w:lineRule="exact"/>
              <w:ind w:right="13" w:rightChars="6" w:firstLine="210" w:firstLineChars="100"/>
              <w:rPr>
                <w:rFonts w:hint="eastAsia"/>
                <w:color w:val="auto"/>
                <w:szCs w:val="22"/>
              </w:rPr>
            </w:pPr>
            <w:r>
              <w:rPr>
                <w:rFonts w:hint="eastAsia"/>
                <w:color w:val="auto"/>
                <w:szCs w:val="22"/>
                <w:lang w:val="en-US" w:eastAsia="zh-CN"/>
              </w:rPr>
              <w:t xml:space="preserve">4、 </w:t>
            </w:r>
            <w:r>
              <w:rPr>
                <w:rFonts w:hint="eastAsia"/>
                <w:color w:val="auto"/>
                <w:szCs w:val="22"/>
              </w:rPr>
              <w:t>火灾控制：</w:t>
            </w:r>
            <w:r>
              <w:rPr>
                <w:rFonts w:hint="eastAsia"/>
                <w:color w:val="auto"/>
                <w:szCs w:val="22"/>
                <w:lang w:val="en-US" w:eastAsia="zh-CN"/>
              </w:rPr>
              <w:t>按要求参加公司的</w:t>
            </w:r>
            <w:r>
              <w:rPr>
                <w:rFonts w:hint="eastAsia"/>
                <w:color w:val="auto"/>
                <w:szCs w:val="22"/>
              </w:rPr>
              <w:t>安全教育，主要学习内容有</w:t>
            </w:r>
            <w:r>
              <w:rPr>
                <w:rFonts w:hint="eastAsia"/>
                <w:color w:val="auto"/>
                <w:szCs w:val="22"/>
                <w:lang w:val="en-US" w:eastAsia="zh-CN"/>
              </w:rPr>
              <w:t>安装知识、</w:t>
            </w:r>
            <w:r>
              <w:rPr>
                <w:rFonts w:hint="eastAsia"/>
                <w:color w:val="auto"/>
                <w:szCs w:val="22"/>
              </w:rPr>
              <w:t>交通安全知识、防火知识、安全用电知识。提高员工安全意识，防止危险发生。</w:t>
            </w:r>
          </w:p>
          <w:p>
            <w:pPr>
              <w:tabs>
                <w:tab w:val="left" w:pos="7380"/>
              </w:tabs>
              <w:rPr>
                <w:rFonts w:hint="eastAsia"/>
                <w:color w:val="auto"/>
                <w:lang w:val="en-US" w:eastAsia="zh-CN"/>
              </w:rPr>
            </w:pPr>
            <w:r>
              <w:rPr>
                <w:rFonts w:hint="eastAsia"/>
                <w:color w:val="auto"/>
              </w:rPr>
              <w:t xml:space="preserve">  </w:t>
            </w:r>
            <w:r>
              <w:rPr>
                <w:rFonts w:hint="eastAsia"/>
                <w:color w:val="auto"/>
                <w:lang w:val="en-US" w:eastAsia="zh-CN"/>
              </w:rPr>
              <w:t>5、</w:t>
            </w:r>
            <w:r>
              <w:rPr>
                <w:rFonts w:hint="eastAsia"/>
                <w:color w:val="auto"/>
              </w:rPr>
              <w:t xml:space="preserve">相关方控制：提供相关方告知书，告知书写是明了公司的管理方针、目标和相关控制要求。主要是客户及外来参观人员，主要施加影响的方法是参观时告知安全注意事项，现场不可以吸烟等。 </w:t>
            </w:r>
          </w:p>
          <w:p>
            <w:pPr>
              <w:ind w:firstLine="210" w:firstLineChars="100"/>
              <w:rPr>
                <w:rFonts w:hint="default" w:eastAsia="宋体"/>
                <w:color w:val="auto"/>
                <w:lang w:val="en-US" w:eastAsia="zh-CN"/>
              </w:rPr>
            </w:pPr>
            <w:r>
              <w:rPr>
                <w:rFonts w:hint="eastAsia"/>
                <w:color w:val="auto"/>
                <w:lang w:val="en-US" w:eastAsia="zh-CN"/>
              </w:rPr>
              <w:t>6安装现场</w:t>
            </w:r>
            <w:r>
              <w:rPr>
                <w:rFonts w:hint="eastAsia"/>
                <w:color w:val="auto"/>
              </w:rPr>
              <w:t>：</w:t>
            </w:r>
            <w:r>
              <w:rPr>
                <w:rFonts w:hint="eastAsia"/>
                <w:color w:val="auto"/>
                <w:lang w:val="en-US" w:eastAsia="zh-CN"/>
              </w:rPr>
              <w:t>产品</w:t>
            </w:r>
            <w:r>
              <w:rPr>
                <w:rFonts w:hint="eastAsia"/>
                <w:color w:val="auto"/>
              </w:rPr>
              <w:t>分类存放，有标识，</w:t>
            </w:r>
            <w:r>
              <w:rPr>
                <w:rFonts w:hint="eastAsia"/>
                <w:color w:val="auto"/>
                <w:lang w:val="en-US" w:eastAsia="zh-CN"/>
              </w:rPr>
              <w:t>基本符合要求。</w:t>
            </w:r>
          </w:p>
          <w:p>
            <w:pPr>
              <w:numPr>
                <w:ilvl w:val="0"/>
                <w:numId w:val="3"/>
              </w:numPr>
              <w:ind w:firstLine="210" w:firstLineChars="100"/>
              <w:rPr>
                <w:rFonts w:hint="eastAsia"/>
                <w:color w:val="auto"/>
                <w:lang w:eastAsia="zh-CN"/>
              </w:rPr>
            </w:pPr>
            <w:r>
              <w:rPr>
                <w:rFonts w:hint="eastAsia"/>
                <w:color w:val="auto"/>
                <w:lang w:val="en-US" w:eastAsia="zh-CN"/>
              </w:rPr>
              <w:t>安装工人</w:t>
            </w:r>
            <w:r>
              <w:rPr>
                <w:rFonts w:hint="eastAsia"/>
                <w:color w:val="auto"/>
              </w:rPr>
              <w:t>配备了手套等劳保用品</w:t>
            </w:r>
            <w:r>
              <w:rPr>
                <w:rFonts w:hint="eastAsia"/>
                <w:color w:val="auto"/>
                <w:lang w:eastAsia="zh-CN"/>
              </w:rPr>
              <w:t>；</w:t>
            </w:r>
          </w:p>
          <w:p>
            <w:pPr>
              <w:tabs>
                <w:tab w:val="left" w:pos="7380"/>
              </w:tabs>
              <w:ind w:firstLine="210" w:firstLineChars="100"/>
              <w:rPr>
                <w:rFonts w:hint="default"/>
                <w:color w:val="auto"/>
                <w:lang w:val="en-US" w:eastAsia="zh-CN"/>
              </w:rPr>
            </w:pPr>
            <w:r>
              <w:rPr>
                <w:rFonts w:hint="eastAsia"/>
                <w:color w:val="auto"/>
                <w:lang w:val="en-US" w:eastAsia="zh-CN"/>
              </w:rPr>
              <w:t>8、安装现场有</w:t>
            </w:r>
            <w:r>
              <w:rPr>
                <w:rFonts w:hint="eastAsia"/>
                <w:color w:val="auto"/>
                <w:szCs w:val="22"/>
                <w:lang w:eastAsia="zh-CN"/>
              </w:rPr>
              <w:t>灭火器等消防设备、垃圾桶等；</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对产品质量目标、产品实现过程；产品所要求的验证、确认、监视、检验和试验活动以及产品接收准则进行了策划，并规定了所需的记录。</w:t>
            </w:r>
            <w:r>
              <w:rPr>
                <w:rFonts w:hint="eastAsia" w:asciiTheme="minorEastAsia" w:hAnsiTheme="minorEastAsia" w:eastAsiaTheme="minorEastAsia" w:cstheme="minorEastAsia"/>
                <w:color w:val="auto"/>
                <w:sz w:val="21"/>
                <w:szCs w:val="21"/>
                <w:lang w:val="en-US" w:eastAsia="zh-CN"/>
              </w:rPr>
              <w:t>无明显异常。</w:t>
            </w:r>
          </w:p>
        </w:tc>
        <w:tc>
          <w:tcPr>
            <w:tcW w:w="714"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应急准备和响应 </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2</w:t>
            </w:r>
          </w:p>
        </w:tc>
        <w:tc>
          <w:tcPr>
            <w:tcW w:w="10875"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安装现场见灭火器等消防器材。</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 按时参加行政部的应急演练，具体见行政部条款。</w:t>
            </w:r>
          </w:p>
        </w:tc>
        <w:tc>
          <w:tcPr>
            <w:tcW w:w="714"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Y</w:t>
            </w:r>
          </w:p>
        </w:tc>
      </w:tr>
    </w:tbl>
    <w:p>
      <w:r>
        <w:ptab w:relativeTo="margin" w:alignment="center" w:leader="none"/>
      </w:r>
    </w:p>
    <w:p>
      <w:pPr>
        <w:pStyle w:val="6"/>
        <w:rPr>
          <w:rFonts w:hint="eastAsia"/>
        </w:rPr>
      </w:pPr>
      <w:r>
        <w:rPr>
          <w:rFonts w:hint="eastAsia"/>
        </w:rPr>
        <w:t>说明：不符合标注N</w:t>
      </w:r>
    </w:p>
    <w:p>
      <w:pPr>
        <w:pStyle w:val="6"/>
        <w:rPr>
          <w:rFonts w:hint="eastAsia"/>
        </w:rPr>
      </w:pPr>
    </w:p>
    <w:p>
      <w:pPr>
        <w:pStyle w:val="6"/>
        <w:rPr>
          <w:rFonts w:hint="eastAsia"/>
        </w:rPr>
      </w:pPr>
    </w:p>
    <w:p>
      <w:pPr>
        <w:pStyle w:val="6"/>
        <w:rPr>
          <w:rFonts w:hint="eastAsia"/>
        </w:rPr>
      </w:pPr>
    </w:p>
    <w:p>
      <w:pPr>
        <w:spacing w:line="480" w:lineRule="exact"/>
        <w:jc w:val="center"/>
        <w:rPr>
          <w:rFonts w:hint="eastAsia" w:asciiTheme="minorEastAsia" w:hAnsiTheme="minorEastAsia" w:eastAsiaTheme="minorEastAsia" w:cstheme="minorEastAsia"/>
          <w:bCs/>
          <w:color w:val="000000"/>
          <w:sz w:val="36"/>
          <w:szCs w:val="36"/>
          <w:lang w:val="en-US" w:eastAsia="zh-CN"/>
        </w:rPr>
      </w:pPr>
      <w:r>
        <w:rPr>
          <w:rFonts w:hint="eastAsia" w:asciiTheme="minorEastAsia" w:hAnsiTheme="minorEastAsia" w:eastAsiaTheme="minorEastAsia" w:cstheme="minorEastAsia"/>
          <w:bCs/>
          <w:color w:val="000000"/>
          <w:sz w:val="36"/>
          <w:szCs w:val="36"/>
        </w:rPr>
        <w:t>管理体系审核记录表</w:t>
      </w:r>
      <w:r>
        <w:rPr>
          <w:rFonts w:hint="eastAsia" w:asciiTheme="minorEastAsia" w:hAnsiTheme="minorEastAsia" w:eastAsiaTheme="minorEastAsia" w:cstheme="minorEastAsia"/>
          <w:bCs/>
          <w:color w:val="000000"/>
          <w:sz w:val="36"/>
          <w:szCs w:val="36"/>
          <w:lang w:val="en-US" w:eastAsia="zh-CN"/>
        </w:rPr>
        <w:t>2</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3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83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b/>
                <w:bCs/>
                <w:sz w:val="21"/>
                <w:szCs w:val="21"/>
                <w:lang w:val="en-US" w:eastAsia="zh-CN"/>
              </w:rPr>
              <w:t>销售</w:t>
            </w:r>
            <w:r>
              <w:rPr>
                <w:rFonts w:hint="eastAsia" w:asciiTheme="minorEastAsia" w:hAnsiTheme="minorEastAsia" w:eastAsiaTheme="minorEastAsia" w:cstheme="minorEastAsia"/>
                <w:b/>
                <w:bCs/>
                <w:sz w:val="21"/>
                <w:szCs w:val="21"/>
              </w:rPr>
              <w:t>部</w:t>
            </w:r>
            <w:r>
              <w:rPr>
                <w:rFonts w:hint="eastAsia" w:asciiTheme="minorEastAsia" w:hAnsiTheme="minorEastAsia" w:eastAsiaTheme="minorEastAsia" w:cstheme="minorEastAsia"/>
                <w:sz w:val="21"/>
                <w:szCs w:val="21"/>
                <w:lang w:val="en-US" w:eastAsia="zh-CN"/>
              </w:rPr>
              <w:t xml:space="preserve">        销售部经理：石天      陪同：柳秋华                </w:t>
            </w:r>
            <w:r>
              <w:rPr>
                <w:rFonts w:hint="eastAsia" w:asciiTheme="minorEastAsia" w:hAnsiTheme="minorEastAsia" w:eastAsiaTheme="minorEastAsia" w:cstheme="minorEastAsia"/>
                <w:color w:val="0000FF"/>
                <w:sz w:val="21"/>
                <w:szCs w:val="21"/>
                <w:lang w:val="en-US" w:eastAsia="zh-CN"/>
              </w:rPr>
              <w:t xml:space="preserve">   </w:t>
            </w:r>
          </w:p>
        </w:tc>
        <w:tc>
          <w:tcPr>
            <w:tcW w:w="75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30"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审核员：王志慧</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2020年9月27日</w:t>
            </w:r>
          </w:p>
        </w:tc>
        <w:tc>
          <w:tcPr>
            <w:tcW w:w="75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30" w:type="dxa"/>
            <w:vAlign w:val="center"/>
          </w:tcPr>
          <w:p>
            <w:pPr>
              <w:spacing w:before="12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审核条款：E</w:t>
            </w: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 5.3组织的岗位、职责和权限、6.2环境与职业健康安全目标、6.1.2环境因素/危险源辨识与评价、8.1运行策划和控制、8.2应急准备和响应，</w:t>
            </w:r>
          </w:p>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专业条款审核有文波、</w:t>
            </w:r>
            <w:r>
              <w:rPr>
                <w:rFonts w:hint="eastAsia" w:asciiTheme="minorEastAsia" w:hAnsiTheme="minorEastAsia" w:eastAsiaTheme="minorEastAsia" w:cstheme="minorEastAsia"/>
                <w:sz w:val="21"/>
                <w:szCs w:val="21"/>
                <w:lang w:eastAsia="zh-CN"/>
              </w:rPr>
              <w:t>专家</w:t>
            </w:r>
            <w:r>
              <w:rPr>
                <w:rFonts w:hint="eastAsia" w:asciiTheme="minorEastAsia" w:hAnsiTheme="minorEastAsia" w:eastAsiaTheme="minorEastAsia" w:cstheme="minorEastAsia"/>
                <w:sz w:val="21"/>
                <w:szCs w:val="21"/>
              </w:rPr>
              <w:t>石泽龙</w:t>
            </w:r>
            <w:r>
              <w:rPr>
                <w:rFonts w:hint="eastAsia" w:asciiTheme="minorEastAsia" w:hAnsiTheme="minorEastAsia" w:eastAsiaTheme="minorEastAsia" w:cstheme="minorEastAsia"/>
                <w:sz w:val="21"/>
                <w:szCs w:val="21"/>
                <w:lang w:val="en-US" w:eastAsia="zh-CN"/>
              </w:rPr>
              <w:t>的专业支持</w:t>
            </w:r>
            <w:r>
              <w:rPr>
                <w:rFonts w:hint="eastAsia" w:asciiTheme="minorEastAsia" w:hAnsiTheme="minorEastAsia" w:eastAsiaTheme="minorEastAsia" w:cstheme="minorEastAsia"/>
                <w:sz w:val="21"/>
                <w:szCs w:val="21"/>
                <w:lang w:eastAsia="zh-CN"/>
              </w:rPr>
              <w:t>）</w:t>
            </w:r>
          </w:p>
        </w:tc>
        <w:tc>
          <w:tcPr>
            <w:tcW w:w="75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heme="minorEastAsia" w:hAnsiTheme="minorEastAsia" w:eastAsiaTheme="minorEastAsia" w:cstheme="minorEastAsia"/>
                <w:sz w:val="21"/>
                <w:szCs w:val="21"/>
              </w:rPr>
            </w:pPr>
            <w:r>
              <w:rPr>
                <w:rFonts w:hint="eastAsia"/>
                <w:color w:val="auto"/>
              </w:rPr>
              <w:t>组织的岗位、职责权限</w:t>
            </w:r>
          </w:p>
        </w:tc>
        <w:tc>
          <w:tcPr>
            <w:tcW w:w="960" w:type="dxa"/>
            <w:vAlign w:val="center"/>
          </w:tcPr>
          <w:p>
            <w:pPr>
              <w:rPr>
                <w:rFonts w:hint="eastAsia" w:asciiTheme="minorEastAsia" w:hAnsiTheme="minorEastAsia" w:eastAsiaTheme="minorEastAsia" w:cstheme="minorEastAsia"/>
                <w:sz w:val="21"/>
                <w:szCs w:val="21"/>
              </w:rPr>
            </w:pPr>
            <w:r>
              <w:rPr>
                <w:rFonts w:hint="eastAsia"/>
                <w:color w:val="auto"/>
              </w:rPr>
              <w:t>EO5.3</w:t>
            </w:r>
          </w:p>
        </w:tc>
        <w:tc>
          <w:tcPr>
            <w:tcW w:w="10830" w:type="dxa"/>
            <w:vAlign w:val="center"/>
          </w:tcPr>
          <w:p>
            <w:pPr>
              <w:rPr>
                <w:rFonts w:hint="eastAsia" w:asciiTheme="minorEastAsia" w:hAnsiTheme="minorEastAsia" w:eastAsiaTheme="minorEastAsia" w:cstheme="minorEastAsia"/>
                <w:sz w:val="21"/>
                <w:szCs w:val="21"/>
              </w:rPr>
            </w:pPr>
            <w:r>
              <w:rPr>
                <w:rFonts w:hint="eastAsia"/>
                <w:color w:val="auto"/>
                <w:sz w:val="21"/>
                <w:szCs w:val="21"/>
              </w:rPr>
              <w:t>主管领导</w:t>
            </w:r>
            <w:r>
              <w:rPr>
                <w:rFonts w:hint="eastAsia"/>
                <w:color w:val="auto"/>
                <w:szCs w:val="22"/>
              </w:rPr>
              <w:t>：</w:t>
            </w:r>
            <w:r>
              <w:rPr>
                <w:rFonts w:hint="eastAsia" w:asciiTheme="minorEastAsia" w:hAnsiTheme="minorEastAsia" w:eastAsiaTheme="minorEastAsia" w:cstheme="minorEastAsia"/>
                <w:sz w:val="21"/>
                <w:szCs w:val="21"/>
                <w:lang w:val="en-US" w:eastAsia="zh-CN"/>
              </w:rPr>
              <w:t>石天</w:t>
            </w:r>
            <w:r>
              <w:rPr>
                <w:rFonts w:hint="eastAsia"/>
                <w:color w:val="auto"/>
                <w:szCs w:val="22"/>
                <w:lang w:val="en-US" w:eastAsia="zh-CN"/>
              </w:rPr>
              <w:t>，目前部门员工7人，销售业务员4名，安装组3人，</w:t>
            </w:r>
            <w:r>
              <w:rPr>
                <w:rFonts w:hint="eastAsia"/>
                <w:color w:val="auto"/>
                <w:szCs w:val="22"/>
              </w:rPr>
              <w:t>主要负责</w:t>
            </w:r>
            <w:r>
              <w:rPr>
                <w:rFonts w:hint="eastAsia"/>
                <w:color w:val="auto"/>
                <w:szCs w:val="22"/>
                <w:lang w:val="en-US" w:eastAsia="zh-CN"/>
              </w:rPr>
              <w:t>与客户得沟通、售后安装调试</w:t>
            </w:r>
            <w:r>
              <w:rPr>
                <w:rFonts w:hint="eastAsia"/>
                <w:color w:val="auto"/>
                <w:szCs w:val="22"/>
              </w:rPr>
              <w:t>管理及</w:t>
            </w:r>
            <w:r>
              <w:rPr>
                <w:rFonts w:hint="eastAsia"/>
                <w:color w:val="auto"/>
                <w:szCs w:val="22"/>
                <w:lang w:val="en-US" w:eastAsia="zh-CN"/>
              </w:rPr>
              <w:t>涉及的</w:t>
            </w:r>
            <w:r>
              <w:rPr>
                <w:rFonts w:hint="eastAsia"/>
                <w:color w:val="auto"/>
              </w:rPr>
              <w:t>危险源</w:t>
            </w:r>
            <w:r>
              <w:rPr>
                <w:rFonts w:hint="eastAsia"/>
                <w:color w:val="auto"/>
                <w:lang w:eastAsia="zh-CN"/>
              </w:rPr>
              <w:t>、</w:t>
            </w:r>
            <w:r>
              <w:rPr>
                <w:rFonts w:hint="eastAsia"/>
                <w:color w:val="auto"/>
                <w:lang w:val="en-US" w:eastAsia="zh-CN"/>
              </w:rPr>
              <w:t>环境因素</w:t>
            </w:r>
            <w:r>
              <w:rPr>
                <w:rFonts w:hint="eastAsia"/>
                <w:color w:val="auto"/>
              </w:rPr>
              <w:t>识别</w:t>
            </w:r>
            <w:r>
              <w:rPr>
                <w:rFonts w:hint="eastAsia"/>
                <w:color w:val="auto"/>
                <w:lang w:val="en-US" w:eastAsia="zh-CN"/>
              </w:rPr>
              <w:t>等</w:t>
            </w:r>
            <w:r>
              <w:rPr>
                <w:rFonts w:hint="eastAsia"/>
                <w:color w:val="auto"/>
              </w:rPr>
              <w:t>控制。本部门的职责和权限清楚。</w:t>
            </w:r>
          </w:p>
        </w:tc>
        <w:tc>
          <w:tcPr>
            <w:tcW w:w="759"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color w:val="auto"/>
              </w:rPr>
              <w:t>目标</w:t>
            </w:r>
            <w:r>
              <w:rPr>
                <w:rFonts w:hint="eastAsia"/>
                <w:color w:val="auto"/>
                <w:lang w:val="en-US" w:eastAsia="zh-CN"/>
              </w:rPr>
              <w:t>及方案的达成</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color w:val="auto"/>
              </w:rPr>
              <w:t>EO6.2</w:t>
            </w:r>
          </w:p>
        </w:tc>
        <w:tc>
          <w:tcPr>
            <w:tcW w:w="10830" w:type="dxa"/>
            <w:vAlign w:val="center"/>
          </w:tcPr>
          <w:p>
            <w:pPr>
              <w:pStyle w:val="2"/>
              <w:rPr>
                <w:rFonts w:hint="eastAsia" w:ascii="Times New Roman" w:hAnsi="Times New Roman"/>
                <w:color w:val="auto"/>
                <w:szCs w:val="22"/>
                <w:lang w:val="en-US" w:eastAsia="zh-CN"/>
              </w:rPr>
            </w:pPr>
            <w:r>
              <w:rPr>
                <w:rFonts w:hint="eastAsia" w:ascii="Times New Roman" w:hAnsi="Times New Roman"/>
                <w:color w:val="auto"/>
                <w:szCs w:val="22"/>
                <w:lang w:val="en-US" w:eastAsia="zh-CN"/>
              </w:rPr>
              <w:t>合同履约率达100%</w:t>
            </w:r>
            <w:r>
              <w:rPr>
                <w:rFonts w:hint="eastAsia" w:ascii="Times New Roman" w:hAnsi="Times New Roman"/>
                <w:color w:val="auto"/>
                <w:szCs w:val="22"/>
                <w:lang w:val="en-US" w:eastAsia="zh-CN"/>
              </w:rPr>
              <w:tab/>
            </w:r>
            <w:r>
              <w:rPr>
                <w:rFonts w:hint="eastAsia" w:ascii="Times New Roman" w:hAnsi="Times New Roman"/>
                <w:color w:val="auto"/>
                <w:szCs w:val="22"/>
                <w:lang w:val="en-US" w:eastAsia="zh-CN"/>
              </w:rPr>
              <w:t xml:space="preserve">    合同履约率100%</w:t>
            </w:r>
          </w:p>
          <w:p>
            <w:pPr>
              <w:pStyle w:val="2"/>
              <w:rPr>
                <w:rFonts w:hint="eastAsia" w:ascii="Times New Roman" w:hAnsi="Times New Roman"/>
                <w:color w:val="auto"/>
                <w:szCs w:val="22"/>
                <w:lang w:val="en-US" w:eastAsia="zh-CN"/>
              </w:rPr>
            </w:pPr>
            <w:r>
              <w:rPr>
                <w:rFonts w:hint="eastAsia" w:ascii="Times New Roman" w:hAnsi="Times New Roman"/>
                <w:color w:val="auto"/>
                <w:szCs w:val="22"/>
                <w:lang w:val="en-US" w:eastAsia="zh-CN"/>
              </w:rPr>
              <w:t>顾客满意率达92分</w:t>
            </w:r>
            <w:r>
              <w:rPr>
                <w:rFonts w:hint="eastAsia" w:ascii="Times New Roman" w:hAnsi="Times New Roman"/>
                <w:color w:val="auto"/>
                <w:szCs w:val="22"/>
                <w:lang w:val="en-US" w:eastAsia="zh-CN"/>
              </w:rPr>
              <w:tab/>
            </w:r>
            <w:r>
              <w:rPr>
                <w:rFonts w:hint="eastAsia" w:ascii="Times New Roman" w:hAnsi="Times New Roman"/>
                <w:color w:val="auto"/>
                <w:szCs w:val="22"/>
                <w:lang w:val="en-US" w:eastAsia="zh-CN"/>
              </w:rPr>
              <w:t xml:space="preserve">     顾客满意率97.3分</w:t>
            </w:r>
          </w:p>
          <w:p>
            <w:pPr>
              <w:pStyle w:val="2"/>
              <w:rPr>
                <w:rFonts w:hint="eastAsia" w:ascii="Times New Roman" w:hAnsi="Times New Roman"/>
                <w:color w:val="auto"/>
                <w:szCs w:val="22"/>
                <w:lang w:val="en-US" w:eastAsia="zh-CN"/>
              </w:rPr>
            </w:pPr>
            <w:r>
              <w:rPr>
                <w:rFonts w:hint="eastAsia" w:ascii="Times New Roman" w:hAnsi="Times New Roman"/>
                <w:color w:val="auto"/>
                <w:szCs w:val="22"/>
                <w:lang w:val="en-US" w:eastAsia="zh-CN"/>
              </w:rPr>
              <w:t>固废分类处置率100%</w:t>
            </w:r>
            <w:r>
              <w:rPr>
                <w:rFonts w:hint="eastAsia" w:ascii="Times New Roman" w:hAnsi="Times New Roman"/>
                <w:color w:val="auto"/>
                <w:szCs w:val="22"/>
                <w:lang w:val="en-US" w:eastAsia="zh-CN"/>
              </w:rPr>
              <w:tab/>
            </w:r>
            <w:r>
              <w:rPr>
                <w:rFonts w:hint="eastAsia" w:ascii="Times New Roman" w:hAnsi="Times New Roman"/>
                <w:color w:val="auto"/>
                <w:szCs w:val="22"/>
                <w:lang w:val="en-US" w:eastAsia="zh-CN"/>
              </w:rPr>
              <w:t xml:space="preserve"> 固废分类处置率100%</w:t>
            </w:r>
          </w:p>
          <w:p>
            <w:pPr>
              <w:pStyle w:val="2"/>
              <w:rPr>
                <w:rFonts w:hint="eastAsia" w:ascii="Times New Roman" w:hAnsi="Times New Roman"/>
                <w:color w:val="auto"/>
                <w:szCs w:val="22"/>
                <w:lang w:val="en-US" w:eastAsia="zh-CN"/>
              </w:rPr>
            </w:pPr>
            <w:r>
              <w:rPr>
                <w:rFonts w:hint="eastAsia" w:ascii="Times New Roman" w:hAnsi="Times New Roman"/>
                <w:color w:val="auto"/>
                <w:szCs w:val="22"/>
                <w:lang w:val="en-US" w:eastAsia="zh-CN"/>
              </w:rPr>
              <w:t>火灾事故发生次数为0</w:t>
            </w:r>
            <w:r>
              <w:rPr>
                <w:rFonts w:hint="eastAsia" w:ascii="Times New Roman" w:hAnsi="Times New Roman"/>
                <w:color w:val="auto"/>
                <w:szCs w:val="22"/>
                <w:lang w:val="en-US" w:eastAsia="zh-CN"/>
              </w:rPr>
              <w:tab/>
            </w:r>
            <w:r>
              <w:rPr>
                <w:rFonts w:hint="eastAsia" w:ascii="Times New Roman" w:hAnsi="Times New Roman"/>
                <w:color w:val="auto"/>
                <w:szCs w:val="22"/>
                <w:lang w:val="en-US" w:eastAsia="zh-CN"/>
              </w:rPr>
              <w:t xml:space="preserve"> 火灾事故0</w:t>
            </w:r>
          </w:p>
          <w:p>
            <w:pPr>
              <w:pStyle w:val="2"/>
              <w:rPr>
                <w:rFonts w:hint="default" w:ascii="Times New Roman" w:hAnsi="Times New Roman"/>
                <w:color w:val="auto"/>
                <w:szCs w:val="22"/>
                <w:lang w:val="en-US" w:eastAsia="zh-CN"/>
              </w:rPr>
            </w:pPr>
            <w:r>
              <w:rPr>
                <w:rFonts w:hint="eastAsia" w:ascii="Times New Roman" w:hAnsi="Times New Roman"/>
                <w:color w:val="auto"/>
                <w:szCs w:val="22"/>
                <w:lang w:val="en-US" w:eastAsia="zh-CN"/>
              </w:rPr>
              <w:t>意外事故为0            意外事故为0</w:t>
            </w:r>
          </w:p>
          <w:p>
            <w:pPr>
              <w:rPr>
                <w:rFonts w:hint="eastAsia" w:asciiTheme="minorEastAsia" w:hAnsiTheme="minorEastAsia" w:eastAsiaTheme="minorEastAsia" w:cstheme="minorEastAsia"/>
                <w:color w:val="auto"/>
                <w:sz w:val="21"/>
                <w:szCs w:val="21"/>
              </w:rPr>
            </w:pPr>
            <w:r>
              <w:rPr>
                <w:rFonts w:hint="eastAsia" w:ascii="Times New Roman" w:hAnsi="Times New Roman"/>
                <w:color w:val="auto"/>
              </w:rPr>
              <w:t>提供了2020年</w:t>
            </w:r>
            <w:r>
              <w:rPr>
                <w:rFonts w:hint="eastAsia"/>
                <w:color w:val="auto"/>
                <w:lang w:eastAsia="zh-CN"/>
              </w:rPr>
              <w:t>上半年</w:t>
            </w:r>
            <w:r>
              <w:rPr>
                <w:rFonts w:hint="eastAsia" w:ascii="Times New Roman" w:hAnsi="Times New Roman"/>
                <w:color w:val="auto"/>
              </w:rPr>
              <w:t>目标考核表</w:t>
            </w:r>
            <w:r>
              <w:rPr>
                <w:rFonts w:hint="eastAsia"/>
                <w:color w:val="auto"/>
                <w:lang w:eastAsia="zh-CN"/>
              </w:rPr>
              <w:t>，</w:t>
            </w:r>
            <w:r>
              <w:rPr>
                <w:rFonts w:hint="eastAsia"/>
                <w:color w:val="auto"/>
                <w:lang w:val="en-US" w:eastAsia="zh-CN"/>
              </w:rPr>
              <w:t>以上目标</w:t>
            </w:r>
            <w:r>
              <w:rPr>
                <w:rFonts w:hint="eastAsia"/>
                <w:color w:val="auto"/>
                <w:szCs w:val="22"/>
                <w:lang w:eastAsia="zh-CN"/>
              </w:rPr>
              <w:t>基本</w:t>
            </w:r>
            <w:r>
              <w:rPr>
                <w:rFonts w:hint="eastAsia"/>
                <w:color w:val="auto"/>
                <w:szCs w:val="22"/>
              </w:rPr>
              <w:t>完成</w:t>
            </w:r>
            <w:r>
              <w:rPr>
                <w:rFonts w:hint="eastAsia" w:ascii="Times New Roman" w:hAnsi="Times New Roman"/>
                <w:color w:val="auto"/>
              </w:rPr>
              <w:t>。</w:t>
            </w:r>
          </w:p>
        </w:tc>
        <w:tc>
          <w:tcPr>
            <w:tcW w:w="759"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环境因素</w:t>
            </w:r>
          </w:p>
          <w:p>
            <w:pPr>
              <w:spacing w:line="360" w:lineRule="auto"/>
              <w:rPr>
                <w:rFonts w:hint="eastAsia"/>
                <w:color w:val="auto"/>
              </w:rPr>
            </w:pPr>
            <w:r>
              <w:rPr>
                <w:rFonts w:hint="eastAsia" w:asciiTheme="minorEastAsia" w:hAnsiTheme="minorEastAsia" w:eastAsiaTheme="minorEastAsia" w:cstheme="minorEastAsia"/>
                <w:bCs/>
                <w:sz w:val="21"/>
                <w:szCs w:val="21"/>
              </w:rPr>
              <w:t>危险源</w:t>
            </w:r>
          </w:p>
        </w:tc>
        <w:tc>
          <w:tcPr>
            <w:tcW w:w="960" w:type="dxa"/>
            <w:vAlign w:val="top"/>
          </w:tcPr>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w:t>
            </w:r>
            <w:r>
              <w:rPr>
                <w:rFonts w:hint="eastAsia" w:asciiTheme="minorEastAsia" w:hAnsiTheme="minorEastAsia" w:eastAsiaTheme="minorEastAsia" w:cstheme="minorEastAsia"/>
                <w:bCs/>
                <w:sz w:val="21"/>
                <w:szCs w:val="21"/>
                <w:lang w:val="en-US" w:eastAsia="zh-CN"/>
              </w:rPr>
              <w:t>O</w:t>
            </w:r>
            <w:r>
              <w:rPr>
                <w:rFonts w:hint="eastAsia" w:asciiTheme="minorEastAsia" w:hAnsiTheme="minorEastAsia" w:eastAsiaTheme="minorEastAsia" w:cstheme="minorEastAsia"/>
                <w:bCs/>
                <w:sz w:val="21"/>
                <w:szCs w:val="21"/>
              </w:rPr>
              <w:t>6.1.2</w:t>
            </w:r>
          </w:p>
          <w:p>
            <w:pPr>
              <w:spacing w:line="360" w:lineRule="auto"/>
              <w:rPr>
                <w:rFonts w:hint="eastAsia"/>
                <w:color w:val="auto"/>
              </w:rPr>
            </w:pPr>
          </w:p>
        </w:tc>
        <w:tc>
          <w:tcPr>
            <w:tcW w:w="10830" w:type="dxa"/>
            <w:vAlign w:val="top"/>
          </w:tcPr>
          <w:p>
            <w:pPr>
              <w:snapToGrid w:val="0"/>
              <w:spacing w:line="360" w:lineRule="auto"/>
              <w:ind w:right="392"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rPr>
              <w:t>环境因素识别与评价表，采用评分标准以打分的方式评价重要环境因素，评价出的重要环境因素为：潜在火灾、固废排放等。</w:t>
            </w:r>
          </w:p>
          <w:p>
            <w:pPr>
              <w:snapToGrid w:val="0"/>
              <w:spacing w:line="360" w:lineRule="auto"/>
              <w:ind w:right="392"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策划通过运行控制、管理方案、培训教育、应急预案等对重大环境因素实施控制，基本适宜</w:t>
            </w:r>
            <w:r>
              <w:rPr>
                <w:rFonts w:hint="eastAsia" w:asciiTheme="minorEastAsia" w:hAnsiTheme="minorEastAsia" w:eastAsiaTheme="minorEastAsia" w:cstheme="minorEastAsia"/>
                <w:sz w:val="21"/>
                <w:szCs w:val="21"/>
                <w:lang w:eastAsia="zh-CN"/>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rPr>
              <w:t>职业安全健康管理体系危害辨识、风险评价、风险控制工作表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本部门</w:t>
            </w:r>
            <w:r>
              <w:rPr>
                <w:rFonts w:hint="eastAsia" w:asciiTheme="minorEastAsia" w:hAnsiTheme="minorEastAsia" w:eastAsiaTheme="minorEastAsia" w:cstheme="minorEastAsia"/>
                <w:sz w:val="21"/>
                <w:szCs w:val="21"/>
              </w:rPr>
              <w:t>危险源有：触电、</w:t>
            </w:r>
            <w:r>
              <w:rPr>
                <w:rFonts w:hint="eastAsia" w:asciiTheme="minorEastAsia" w:hAnsiTheme="minorEastAsia" w:eastAsiaTheme="minorEastAsia" w:cstheme="minorEastAsia"/>
                <w:sz w:val="21"/>
                <w:szCs w:val="21"/>
                <w:lang w:val="en-US" w:eastAsia="zh-CN"/>
              </w:rPr>
              <w:t>物体砸伤等</w:t>
            </w:r>
            <w:r>
              <w:rPr>
                <w:rFonts w:hint="eastAsia" w:asciiTheme="minorEastAsia" w:hAnsiTheme="minorEastAsia" w:eastAsiaTheme="minorEastAsia" w:cstheme="minorEastAsia"/>
                <w:sz w:val="21"/>
                <w:szCs w:val="21"/>
              </w:rPr>
              <w:t>意外伤害、火灾等。不可接受风险识别有：火灾、触电等</w:t>
            </w:r>
          </w:p>
          <w:p>
            <w:pPr>
              <w:spacing w:line="360" w:lineRule="auto"/>
              <w:ind w:firstLine="420" w:firstLineChars="200"/>
              <w:rPr>
                <w:rFonts w:hint="eastAsia" w:ascii="Times New Roman" w:hAnsi="Times New Roman"/>
                <w:color w:val="auto"/>
              </w:rPr>
            </w:pPr>
            <w:r>
              <w:rPr>
                <w:rFonts w:hint="eastAsia" w:asciiTheme="minorEastAsia" w:hAnsiTheme="minorEastAsia" w:eastAsiaTheme="minorEastAsia" w:cstheme="minorEastAsia"/>
                <w:sz w:val="21"/>
                <w:szCs w:val="21"/>
              </w:rPr>
              <w:t>危险源识别经核实基本齐全，重大危险源评价基本合理。</w:t>
            </w:r>
          </w:p>
        </w:tc>
        <w:tc>
          <w:tcPr>
            <w:tcW w:w="759"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60" w:type="dxa"/>
            <w:vAlign w:val="center"/>
          </w:tcPr>
          <w:p>
            <w:pPr>
              <w:rPr>
                <w:rFonts w:hint="eastAsia"/>
                <w:color w:val="auto"/>
              </w:rPr>
            </w:pPr>
            <w:r>
              <w:rPr>
                <w:rFonts w:hint="eastAsia"/>
                <w:color w:val="auto"/>
              </w:rPr>
              <w:t>运行的策划和控制</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8.1</w:t>
            </w:r>
          </w:p>
        </w:tc>
        <w:tc>
          <w:tcPr>
            <w:tcW w:w="10830" w:type="dxa"/>
            <w:vAlign w:val="center"/>
          </w:tcPr>
          <w:p>
            <w:pPr>
              <w:numPr>
                <w:ilvl w:val="0"/>
                <w:numId w:val="0"/>
              </w:num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sz w:val="21"/>
                <w:szCs w:val="21"/>
                <w:lang w:val="en-US" w:eastAsia="zh-CN"/>
              </w:rPr>
              <w:t>一、见执行</w:t>
            </w:r>
            <w:r>
              <w:rPr>
                <w:rFonts w:hint="eastAsia" w:asciiTheme="minorEastAsia" w:hAnsiTheme="minorEastAsia" w:eastAsiaTheme="minorEastAsia" w:cstheme="minorEastAsia"/>
                <w:b w:val="0"/>
                <w:bCs w:val="0"/>
                <w:sz w:val="21"/>
                <w:szCs w:val="21"/>
                <w:lang w:val="en-US" w:eastAsia="zh-CN"/>
              </w:rPr>
              <w:t>法律法规清单：</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金属家具通用技术条件GB/T3325-2017</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防盗保险柜国家标准</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GB10409—2001</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金库门通用技术条件</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GA/T143—1996</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金库门</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JR/T 0001-2000</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钢制文件柜技术条件</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QB1097—2010</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课桌椅</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QB/T3916-1999</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钢制书架第3部分：手动密集书架</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GB/T13667.3-2013</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钢制书架第4部分：电动密集书架</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GB/T13667.4-2013</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钢制书架第1部分：单、复柱书架</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GB/T13667.1-2015</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枪支弹药专用保险柜</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GA 1051-2013</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涂装作业安全规程-静电喷漆工业安全</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GB12367—2006</w:t>
            </w:r>
          </w:p>
          <w:p>
            <w:pPr>
              <w:pStyle w:val="3"/>
              <w:numPr>
                <w:ilvl w:val="0"/>
                <w:numId w:val="0"/>
              </w:num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钢制书柜、资料柜通用技术条件</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lang w:val="en-US" w:eastAsia="zh-CN"/>
              </w:rPr>
              <w:t>GB/T13668-2015</w:t>
            </w:r>
          </w:p>
          <w:p>
            <w:pPr>
              <w:pStyle w:val="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江西省消防条例</w:t>
            </w:r>
          </w:p>
          <w:p>
            <w:pPr>
              <w:pStyle w:val="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江西省安全生产条例</w:t>
            </w:r>
          </w:p>
          <w:p>
            <w:pPr>
              <w:pStyle w:val="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宜春市建设工程消防管理规定</w:t>
            </w:r>
          </w:p>
          <w:p>
            <w:pPr>
              <w:pStyle w:val="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江西省突发事件应急预案管理实施办法</w:t>
            </w:r>
          </w:p>
          <w:p>
            <w:pPr>
              <w:pStyle w:val="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江西省生产安全事故报告和调查处理规定</w:t>
            </w:r>
          </w:p>
          <w:p>
            <w:pPr>
              <w:pStyle w:val="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GB/T 11651-2008个体防护装备选用规范</w:t>
            </w:r>
          </w:p>
          <w:p>
            <w:pPr>
              <w:pStyle w:val="4"/>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江西省环境保护条例</w:t>
            </w:r>
          </w:p>
          <w:p>
            <w:pPr>
              <w:pStyle w:val="4"/>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p>
            <w:pPr>
              <w:spacing w:line="36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运行的策划和控制</w:t>
            </w:r>
            <w:r>
              <w:rPr>
                <w:rFonts w:hint="eastAsia" w:asciiTheme="minorEastAsia" w:hAnsiTheme="minorEastAsia" w:eastAsiaTheme="minorEastAsia" w:cstheme="minorEastAsia"/>
                <w:sz w:val="21"/>
                <w:szCs w:val="21"/>
                <w:lang w:val="en-US" w:eastAsia="zh-CN"/>
              </w:rPr>
              <w:t>如下：</w:t>
            </w:r>
          </w:p>
          <w:p>
            <w:pPr>
              <w:spacing w:line="360" w:lineRule="exact"/>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1、办公生活污水控制：直接排入办公区域所属市政管网</w:t>
            </w:r>
          </w:p>
          <w:p>
            <w:pPr>
              <w:spacing w:line="360" w:lineRule="exact"/>
              <w:ind w:right="13" w:rightChars="6"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2、噪声控制：无明显噪声(噪声主要来源</w:t>
            </w:r>
            <w:r>
              <w:rPr>
                <w:rFonts w:hint="eastAsia" w:asciiTheme="minorEastAsia" w:hAnsiTheme="minorEastAsia" w:eastAsiaTheme="minorEastAsia" w:cstheme="minorEastAsia"/>
                <w:sz w:val="21"/>
                <w:szCs w:val="21"/>
                <w:lang w:val="en-US" w:eastAsia="zh-CN"/>
              </w:rPr>
              <w:t>安装、调试</w:t>
            </w:r>
            <w:r>
              <w:rPr>
                <w:rFonts w:hint="eastAsia" w:asciiTheme="minorEastAsia" w:hAnsiTheme="minorEastAsia" w:eastAsiaTheme="minorEastAsia" w:cstheme="minorEastAsia"/>
                <w:sz w:val="21"/>
                <w:szCs w:val="21"/>
              </w:rPr>
              <w:t>产生的噪声)。</w:t>
            </w:r>
          </w:p>
          <w:p>
            <w:pPr>
              <w:spacing w:line="360" w:lineRule="exact"/>
              <w:ind w:right="13" w:rightChars="6"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固废控制：有对</w:t>
            </w:r>
            <w:r>
              <w:rPr>
                <w:rFonts w:hint="eastAsia" w:asciiTheme="minorEastAsia" w:hAnsiTheme="minorEastAsia" w:eastAsiaTheme="minorEastAsia" w:cstheme="minorEastAsia"/>
                <w:sz w:val="21"/>
                <w:szCs w:val="21"/>
                <w:lang w:val="en-US" w:eastAsia="zh-CN"/>
              </w:rPr>
              <w:t>包装等</w:t>
            </w:r>
            <w:r>
              <w:rPr>
                <w:rFonts w:hint="eastAsia" w:asciiTheme="minorEastAsia" w:hAnsiTheme="minorEastAsia" w:eastAsiaTheme="minorEastAsia" w:cstheme="minorEastAsia"/>
                <w:sz w:val="21"/>
                <w:szCs w:val="21"/>
              </w:rPr>
              <w:t>固体废弃物分类处理，按“可回收”和“不可回收”垃圾统一集中到指定垃圾桶内。</w:t>
            </w:r>
          </w:p>
          <w:p>
            <w:pPr>
              <w:spacing w:line="360" w:lineRule="exact"/>
              <w:ind w:right="13" w:rightChars="6"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4、 </w:t>
            </w:r>
            <w:r>
              <w:rPr>
                <w:rFonts w:hint="eastAsia" w:asciiTheme="minorEastAsia" w:hAnsiTheme="minorEastAsia" w:eastAsiaTheme="minorEastAsia" w:cstheme="minorEastAsia"/>
                <w:sz w:val="21"/>
                <w:szCs w:val="21"/>
              </w:rPr>
              <w:t>火灾控制：</w:t>
            </w:r>
            <w:r>
              <w:rPr>
                <w:rFonts w:hint="eastAsia" w:asciiTheme="minorEastAsia" w:hAnsiTheme="minorEastAsia" w:eastAsiaTheme="minorEastAsia" w:cstheme="minorEastAsia"/>
                <w:sz w:val="21"/>
                <w:szCs w:val="21"/>
                <w:lang w:val="en-US" w:eastAsia="zh-CN"/>
              </w:rPr>
              <w:t>按要求参加公司的</w:t>
            </w:r>
            <w:r>
              <w:rPr>
                <w:rFonts w:hint="eastAsia" w:asciiTheme="minorEastAsia" w:hAnsiTheme="minorEastAsia" w:eastAsiaTheme="minorEastAsia" w:cstheme="minorEastAsia"/>
                <w:sz w:val="21"/>
                <w:szCs w:val="21"/>
              </w:rPr>
              <w:t>安全教育，主要学习内容有</w:t>
            </w:r>
            <w:r>
              <w:rPr>
                <w:rFonts w:hint="eastAsia" w:asciiTheme="minorEastAsia" w:hAnsiTheme="minorEastAsia" w:eastAsiaTheme="minorEastAsia" w:cstheme="minorEastAsia"/>
                <w:sz w:val="21"/>
                <w:szCs w:val="21"/>
                <w:lang w:val="en-US" w:eastAsia="zh-CN"/>
              </w:rPr>
              <w:t>安装知识、</w:t>
            </w:r>
            <w:r>
              <w:rPr>
                <w:rFonts w:hint="eastAsia" w:asciiTheme="minorEastAsia" w:hAnsiTheme="minorEastAsia" w:eastAsiaTheme="minorEastAsia" w:cstheme="minorEastAsia"/>
                <w:sz w:val="21"/>
                <w:szCs w:val="21"/>
              </w:rPr>
              <w:t>交通安全知识、防火知识、安全用电知识。提高员工安全意识，防止危险发生。</w:t>
            </w:r>
          </w:p>
          <w:p>
            <w:pPr>
              <w:tabs>
                <w:tab w:val="left" w:pos="7380"/>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 xml:space="preserve">相关方控制：提供相关方告知书，告知书写是明了公司的管理方针、目标和相关控制要求。主要是客户及外来参观人员，主要施加影响的方法是参观时告知安全注意事项，现场不可以吸烟等。 </w:t>
            </w:r>
          </w:p>
          <w:p>
            <w:pPr>
              <w:spacing w:line="360" w:lineRule="auto"/>
              <w:ind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6.对外招投标和业务洽谈时明确承诺公司产品环保、无毒无害。</w:t>
            </w:r>
          </w:p>
          <w:p>
            <w:pPr>
              <w:ind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7安装现场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产品</w:t>
            </w:r>
            <w:r>
              <w:rPr>
                <w:rFonts w:hint="eastAsia" w:asciiTheme="minorEastAsia" w:hAnsiTheme="minorEastAsia" w:eastAsiaTheme="minorEastAsia" w:cstheme="minorEastAsia"/>
                <w:sz w:val="21"/>
                <w:szCs w:val="21"/>
              </w:rPr>
              <w:t>分类存放，有标识，</w:t>
            </w:r>
            <w:r>
              <w:rPr>
                <w:rFonts w:hint="eastAsia" w:asciiTheme="minorEastAsia" w:hAnsiTheme="minorEastAsia" w:eastAsiaTheme="minorEastAsia" w:cstheme="minorEastAsia"/>
                <w:sz w:val="21"/>
                <w:szCs w:val="21"/>
                <w:lang w:val="en-US" w:eastAsia="zh-CN"/>
              </w:rPr>
              <w:t>基本符合要求。</w:t>
            </w:r>
          </w:p>
          <w:p>
            <w:pPr>
              <w:numPr>
                <w:ilvl w:val="0"/>
                <w:numId w:val="3"/>
              </w:numPr>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安装工人</w:t>
            </w:r>
            <w:r>
              <w:rPr>
                <w:rFonts w:hint="eastAsia" w:asciiTheme="minorEastAsia" w:hAnsiTheme="minorEastAsia" w:eastAsiaTheme="minorEastAsia" w:cstheme="minorEastAsia"/>
                <w:sz w:val="21"/>
                <w:szCs w:val="21"/>
              </w:rPr>
              <w:t>配备了手套等劳保用品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auto"/>
                <w:sz w:val="21"/>
                <w:szCs w:val="21"/>
              </w:rPr>
              <w:t>在产品装车时，要求装运人员必须穿戴劳动防护用品，合理使用搬运工具。</w:t>
            </w:r>
          </w:p>
          <w:p>
            <w:pPr>
              <w:tabs>
                <w:tab w:val="left" w:pos="7380"/>
              </w:tabs>
              <w:ind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9、安装现场有</w:t>
            </w:r>
            <w:r>
              <w:rPr>
                <w:rFonts w:hint="eastAsia" w:asciiTheme="minorEastAsia" w:hAnsiTheme="minorEastAsia" w:eastAsiaTheme="minorEastAsia" w:cstheme="minorEastAsia"/>
                <w:sz w:val="21"/>
                <w:szCs w:val="21"/>
                <w:lang w:eastAsia="zh-CN"/>
              </w:rPr>
              <w:t>灭火器等消防设备、垃圾桶等；</w:t>
            </w:r>
          </w:p>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对产品质量目标、产品实现过程；产品所要求的验证、确认、监视、检验和试验活动以及产品接收准则进行了策划，并规定了所需的记录。</w:t>
            </w:r>
            <w:r>
              <w:rPr>
                <w:rFonts w:hint="eastAsia" w:asciiTheme="minorEastAsia" w:hAnsiTheme="minorEastAsia" w:eastAsiaTheme="minorEastAsia" w:cstheme="minorEastAsia"/>
                <w:sz w:val="21"/>
                <w:szCs w:val="21"/>
                <w:lang w:val="en-US" w:eastAsia="zh-CN"/>
              </w:rPr>
              <w:t>无明显异常。</w:t>
            </w:r>
          </w:p>
          <w:p>
            <w:pPr>
              <w:pStyle w:val="2"/>
              <w:ind w:firstLine="46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部门运行控制能结合产品生命周期方法，基本符合策划要求。</w:t>
            </w:r>
          </w:p>
        </w:tc>
        <w:tc>
          <w:tcPr>
            <w:tcW w:w="759"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pPr>
              <w:rPr>
                <w:rFonts w:hint="eastAsia"/>
                <w:color w:val="auto"/>
              </w:rPr>
            </w:pPr>
            <w:r>
              <w:rPr>
                <w:rFonts w:hint="eastAsia" w:asciiTheme="minorEastAsia" w:hAnsiTheme="minorEastAsia" w:eastAsiaTheme="minorEastAsia" w:cstheme="minorEastAsia"/>
                <w:color w:val="auto"/>
                <w:sz w:val="21"/>
                <w:szCs w:val="21"/>
              </w:rPr>
              <w:t xml:space="preserve">应急准备和响应 </w:t>
            </w:r>
          </w:p>
        </w:tc>
        <w:tc>
          <w:tcPr>
            <w:tcW w:w="960" w:type="dxa"/>
            <w:vAlign w:val="center"/>
          </w:tcPr>
          <w:p>
            <w:pPr>
              <w:rPr>
                <w:rFonts w:hint="eastAsia"/>
                <w:color w:val="auto"/>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2</w:t>
            </w:r>
          </w:p>
        </w:tc>
        <w:tc>
          <w:tcPr>
            <w:tcW w:w="10830"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安装现场见灭火器等消防器材。</w:t>
            </w:r>
          </w:p>
          <w:p>
            <w:pPr>
              <w:ind w:firstLine="420" w:firstLineChars="200"/>
              <w:rPr>
                <w:rFonts w:hint="eastAsia" w:ascii="Times New Roman" w:hAnsi="Times New Roman"/>
                <w:color w:val="auto"/>
              </w:rPr>
            </w:pPr>
            <w:r>
              <w:rPr>
                <w:rFonts w:hint="eastAsia" w:asciiTheme="minorEastAsia" w:hAnsiTheme="minorEastAsia" w:eastAsiaTheme="minorEastAsia" w:cstheme="minorEastAsia"/>
                <w:color w:val="auto"/>
                <w:sz w:val="21"/>
                <w:szCs w:val="21"/>
                <w:lang w:val="en-US" w:eastAsia="zh-CN"/>
              </w:rPr>
              <w:t xml:space="preserve"> 按时参加行政部的应急演练，具体见行政部条款。</w:t>
            </w:r>
          </w:p>
        </w:tc>
        <w:tc>
          <w:tcPr>
            <w:tcW w:w="759"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bl>
    <w:p>
      <w:pPr>
        <w:pStyle w:val="6"/>
        <w:rPr>
          <w:rFonts w:hint="eastAsia"/>
        </w:rPr>
      </w:pPr>
    </w:p>
    <w:p>
      <w:pPr>
        <w:pStyle w:val="6"/>
        <w:rPr>
          <w:rFonts w:hint="eastAsia"/>
        </w:rPr>
      </w:pPr>
      <w:r>
        <w:rPr>
          <w:rFonts w:hint="eastAsia"/>
        </w:rPr>
        <w:t>说明：不符合标注N</w:t>
      </w:r>
    </w:p>
    <w:p>
      <w:pPr>
        <w:pStyle w:val="6"/>
        <w:rPr>
          <w:rFonts w:hint="eastAsia"/>
        </w:rPr>
      </w:pPr>
    </w:p>
    <w:p>
      <w:pPr>
        <w:pStyle w:val="6"/>
        <w:rPr>
          <w:rFonts w:hint="eastAsia"/>
        </w:rPr>
      </w:pPr>
    </w:p>
    <w:p>
      <w:pPr>
        <w:spacing w:line="480" w:lineRule="exact"/>
        <w:jc w:val="center"/>
        <w:rPr>
          <w:rFonts w:hint="eastAsia" w:asciiTheme="minorEastAsia" w:hAnsiTheme="minorEastAsia" w:eastAsiaTheme="minorEastAsia" w:cstheme="minorEastAsia"/>
          <w:bCs/>
          <w:color w:val="000000"/>
          <w:sz w:val="36"/>
          <w:szCs w:val="36"/>
        </w:rPr>
      </w:pPr>
    </w:p>
    <w:p>
      <w:pPr>
        <w:spacing w:line="480" w:lineRule="exact"/>
        <w:jc w:val="center"/>
        <w:rPr>
          <w:rFonts w:hint="eastAsia" w:asciiTheme="minorEastAsia" w:hAnsiTheme="minorEastAsia" w:eastAsiaTheme="minorEastAsia" w:cstheme="minorEastAsia"/>
          <w:bCs/>
          <w:color w:val="000000"/>
          <w:sz w:val="36"/>
          <w:szCs w:val="36"/>
          <w:lang w:val="en-US" w:eastAsia="zh-CN"/>
        </w:rPr>
      </w:pPr>
      <w:r>
        <w:rPr>
          <w:rFonts w:hint="eastAsia" w:asciiTheme="minorEastAsia" w:hAnsiTheme="minorEastAsia" w:eastAsiaTheme="minorEastAsia" w:cstheme="minorEastAsia"/>
          <w:bCs/>
          <w:color w:val="000000"/>
          <w:sz w:val="36"/>
          <w:szCs w:val="36"/>
        </w:rPr>
        <w:t>管理体系审核记录表</w:t>
      </w:r>
      <w:r>
        <w:rPr>
          <w:rFonts w:hint="eastAsia" w:asciiTheme="minorEastAsia" w:hAnsiTheme="minorEastAsia" w:eastAsiaTheme="minorEastAsia" w:cstheme="minorEastAsia"/>
          <w:bCs/>
          <w:color w:val="000000"/>
          <w:sz w:val="36"/>
          <w:szCs w:val="36"/>
          <w:lang w:val="en-US" w:eastAsia="zh-CN"/>
        </w:rPr>
        <w:t>3</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3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83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 xml:space="preserve">：管理层        总经理：石仕义     管理者代表：石仕义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员工代表：柳秋华          陪同：柳秋华                </w:t>
            </w:r>
            <w:r>
              <w:rPr>
                <w:rFonts w:hint="eastAsia" w:asciiTheme="minorEastAsia" w:hAnsiTheme="minorEastAsia" w:eastAsiaTheme="minorEastAsia" w:cstheme="minorEastAsia"/>
                <w:color w:val="0000FF"/>
                <w:sz w:val="21"/>
                <w:szCs w:val="21"/>
                <w:lang w:val="en-US" w:eastAsia="zh-CN"/>
              </w:rPr>
              <w:t xml:space="preserve">   </w:t>
            </w:r>
          </w:p>
        </w:tc>
        <w:tc>
          <w:tcPr>
            <w:tcW w:w="75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30"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审核员：王志慧</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2020年9月27日</w:t>
            </w:r>
          </w:p>
        </w:tc>
        <w:tc>
          <w:tcPr>
            <w:tcW w:w="75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30" w:type="dxa"/>
            <w:vAlign w:val="center"/>
          </w:tcPr>
          <w:p>
            <w:pPr>
              <w:adjustRightInd w:val="0"/>
              <w:snapToGrid w:val="0"/>
              <w:spacing w:line="360" w:lineRule="auto"/>
              <w:ind w:right="105" w:rightChars="50"/>
              <w:textAlignment w:val="baseline"/>
              <w:rPr>
                <w:rFonts w:ascii="宋体" w:hAnsi="宋体" w:cs="Arial"/>
                <w:color w:val="auto"/>
                <w:spacing w:val="-6"/>
                <w:sz w:val="21"/>
                <w:szCs w:val="21"/>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color w:val="auto"/>
                <w:sz w:val="21"/>
                <w:szCs w:val="21"/>
              </w:rPr>
              <w:t>：</w:t>
            </w:r>
            <w:r>
              <w:rPr>
                <w:rFonts w:hint="eastAsia" w:ascii="宋体" w:hAnsi="宋体" w:cs="Arial"/>
                <w:color w:val="auto"/>
                <w:spacing w:val="-6"/>
                <w:sz w:val="21"/>
                <w:szCs w:val="21"/>
              </w:rPr>
              <w:t>EO:4.1理解组织及其环境、4.2理解相关方的需求和期望、4.3 确定管理体系的范围、4.4环境</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职业健康安全</w:t>
            </w:r>
            <w:r>
              <w:rPr>
                <w:rFonts w:hint="eastAsia" w:ascii="宋体" w:hAnsi="宋体" w:cs="Arial"/>
                <w:color w:val="auto"/>
                <w:spacing w:val="-6"/>
                <w:sz w:val="21"/>
                <w:szCs w:val="21"/>
              </w:rPr>
              <w:t>管理体系及其过程、5.1领导作用和承诺、5.2环境/职业健康安全方针、5.3组织的岗位、职责和权限、O5.4协商与参与、6.1应对风险和机遇的措施、6.2环境目标及其实现的策划、7.1资源总则、7.4沟通/信息交流、9.3管理评审、10.1改进、10.3持续改进，</w:t>
            </w:r>
          </w:p>
          <w:p>
            <w:pPr>
              <w:spacing w:before="120"/>
              <w:rPr>
                <w:rFonts w:hint="default" w:asciiTheme="minorEastAsia" w:hAnsiTheme="minorEastAsia" w:eastAsiaTheme="minorEastAsia" w:cstheme="minorEastAsia"/>
                <w:color w:val="auto"/>
                <w:sz w:val="21"/>
                <w:szCs w:val="21"/>
                <w:lang w:val="en-US" w:eastAsia="zh-CN"/>
              </w:rPr>
            </w:pPr>
            <w:r>
              <w:rPr>
                <w:rFonts w:hint="eastAsia" w:ascii="宋体" w:hAnsi="宋体"/>
                <w:color w:val="auto"/>
                <w:kern w:val="0"/>
                <w:sz w:val="21"/>
                <w:szCs w:val="21"/>
              </w:rPr>
              <w:t>国家</w:t>
            </w:r>
            <w:r>
              <w:rPr>
                <w:rFonts w:ascii="宋体" w:hAnsi="宋体"/>
                <w:color w:val="auto"/>
                <w:kern w:val="0"/>
                <w:sz w:val="21"/>
                <w:szCs w:val="21"/>
              </w:rPr>
              <w:t>/</w:t>
            </w:r>
            <w:r>
              <w:rPr>
                <w:rFonts w:hint="eastAsia" w:ascii="宋体" w:hAnsi="宋体"/>
                <w:color w:val="auto"/>
                <w:kern w:val="0"/>
                <w:sz w:val="21"/>
                <w:szCs w:val="21"/>
              </w:rPr>
              <w:t>地方监督抽查情况；顾客满意、相关方投诉及处理情况；验证企业相关资质证明的有效性，一阶段问题验证；</w:t>
            </w:r>
          </w:p>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专业条款审核有文波、</w:t>
            </w:r>
            <w:r>
              <w:rPr>
                <w:rFonts w:hint="eastAsia" w:asciiTheme="minorEastAsia" w:hAnsiTheme="minorEastAsia" w:eastAsiaTheme="minorEastAsia" w:cstheme="minorEastAsia"/>
                <w:color w:val="auto"/>
                <w:sz w:val="21"/>
                <w:szCs w:val="21"/>
                <w:lang w:eastAsia="zh-CN"/>
              </w:rPr>
              <w:t>专家</w:t>
            </w:r>
            <w:r>
              <w:rPr>
                <w:rFonts w:hint="eastAsia" w:asciiTheme="minorEastAsia" w:hAnsiTheme="minorEastAsia" w:eastAsiaTheme="minorEastAsia" w:cstheme="minorEastAsia"/>
                <w:color w:val="auto"/>
                <w:sz w:val="21"/>
                <w:szCs w:val="21"/>
              </w:rPr>
              <w:t>石泽龙</w:t>
            </w:r>
            <w:r>
              <w:rPr>
                <w:rFonts w:hint="eastAsia" w:asciiTheme="minorEastAsia" w:hAnsiTheme="minorEastAsia" w:eastAsiaTheme="minorEastAsia" w:cstheme="minorEastAsia"/>
                <w:color w:val="auto"/>
                <w:sz w:val="21"/>
                <w:szCs w:val="21"/>
                <w:lang w:val="en-US" w:eastAsia="zh-CN"/>
              </w:rPr>
              <w:t>的专业支持</w:t>
            </w:r>
            <w:r>
              <w:rPr>
                <w:rFonts w:hint="eastAsia" w:asciiTheme="minorEastAsia" w:hAnsiTheme="minorEastAsia" w:eastAsiaTheme="minorEastAsia" w:cstheme="minorEastAsia"/>
                <w:color w:val="auto"/>
                <w:sz w:val="21"/>
                <w:szCs w:val="21"/>
                <w:lang w:eastAsia="zh-CN"/>
              </w:rPr>
              <w:t>）</w:t>
            </w:r>
          </w:p>
        </w:tc>
        <w:tc>
          <w:tcPr>
            <w:tcW w:w="75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理解组织及其环境</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总要求</w:t>
            </w:r>
          </w:p>
          <w:p>
            <w:pPr>
              <w:pStyle w:val="2"/>
              <w:spacing w:line="240" w:lineRule="auto"/>
              <w:rPr>
                <w:rFonts w:hint="eastAsia" w:asciiTheme="minorEastAsia" w:hAnsiTheme="minorEastAsia" w:eastAsiaTheme="minorEastAsia" w:cstheme="minorEastAsia"/>
                <w:color w:val="auto"/>
                <w:sz w:val="21"/>
                <w:szCs w:val="21"/>
              </w:rPr>
            </w:pPr>
          </w:p>
          <w:p>
            <w:pPr>
              <w:pStyle w:val="2"/>
              <w:spacing w:line="240" w:lineRule="auto"/>
              <w:rPr>
                <w:rFonts w:hint="eastAsia" w:asciiTheme="minorEastAsia" w:hAnsiTheme="minorEastAsia" w:eastAsiaTheme="minorEastAsia" w:cstheme="minorEastAsia"/>
                <w:color w:val="auto"/>
                <w:sz w:val="21"/>
                <w:szCs w:val="21"/>
              </w:rPr>
            </w:pP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确定管理体系的范围</w:t>
            </w:r>
          </w:p>
          <w:p>
            <w:pPr>
              <w:pStyle w:val="2"/>
              <w:spacing w:line="240" w:lineRule="auto"/>
              <w:rPr>
                <w:rFonts w:hint="eastAsia" w:asciiTheme="minorEastAsia" w:hAnsiTheme="minorEastAsia" w:eastAsiaTheme="minorEastAsia" w:cstheme="minorEastAsia"/>
                <w:color w:val="auto"/>
                <w:sz w:val="21"/>
                <w:szCs w:val="21"/>
              </w:rPr>
            </w:pPr>
          </w:p>
          <w:p>
            <w:pPr>
              <w:spacing w:line="240" w:lineRule="auto"/>
              <w:rPr>
                <w:rFonts w:hint="eastAsia" w:asciiTheme="minorEastAsia" w:hAnsiTheme="minorEastAsia" w:eastAsiaTheme="minorEastAsia" w:cstheme="minorEastAsia"/>
                <w:color w:val="auto"/>
                <w:sz w:val="21"/>
                <w:szCs w:val="21"/>
              </w:rPr>
            </w:pPr>
          </w:p>
        </w:tc>
        <w:tc>
          <w:tcPr>
            <w:tcW w:w="960" w:type="dxa"/>
            <w:vAlign w:val="top"/>
          </w:tcPr>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E/O 4.1</w:t>
            </w:r>
          </w:p>
          <w:p>
            <w:pPr>
              <w:spacing w:line="240" w:lineRule="auto"/>
              <w:rPr>
                <w:rFonts w:hint="eastAsia" w:asciiTheme="minorEastAsia" w:hAnsiTheme="minorEastAsia" w:eastAsiaTheme="minorEastAsia" w:cstheme="minorEastAsia"/>
                <w:color w:val="auto"/>
                <w:sz w:val="21"/>
                <w:szCs w:val="21"/>
              </w:rPr>
            </w:pPr>
          </w:p>
          <w:p>
            <w:pPr>
              <w:spacing w:line="240" w:lineRule="auto"/>
              <w:rPr>
                <w:rFonts w:hint="eastAsia" w:asciiTheme="minorEastAsia" w:hAnsiTheme="minorEastAsia" w:eastAsiaTheme="minorEastAsia" w:cstheme="minorEastAsia"/>
                <w:color w:val="auto"/>
                <w:sz w:val="21"/>
                <w:szCs w:val="21"/>
              </w:rPr>
            </w:pPr>
          </w:p>
          <w:p>
            <w:pPr>
              <w:pStyle w:val="2"/>
              <w:spacing w:line="240" w:lineRule="auto"/>
              <w:rPr>
                <w:rFonts w:hint="eastAsia" w:asciiTheme="minorEastAsia" w:hAnsiTheme="minorEastAsia" w:eastAsiaTheme="minorEastAsia" w:cstheme="minorEastAsia"/>
                <w:color w:val="auto"/>
                <w:sz w:val="21"/>
                <w:szCs w:val="21"/>
              </w:rPr>
            </w:pP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E/O 4.3</w:t>
            </w:r>
          </w:p>
          <w:p>
            <w:pPr>
              <w:pStyle w:val="2"/>
              <w:spacing w:line="240" w:lineRule="auto"/>
              <w:rPr>
                <w:rFonts w:hint="eastAsia" w:asciiTheme="minorEastAsia" w:hAnsiTheme="minorEastAsia" w:eastAsiaTheme="minorEastAsia" w:cstheme="minorEastAsia"/>
                <w:color w:val="auto"/>
                <w:sz w:val="21"/>
                <w:szCs w:val="21"/>
              </w:rPr>
            </w:pPr>
          </w:p>
          <w:p>
            <w:pPr>
              <w:pStyle w:val="2"/>
              <w:spacing w:line="240" w:lineRule="auto"/>
              <w:rPr>
                <w:rFonts w:hint="eastAsia" w:asciiTheme="minorEastAsia" w:hAnsiTheme="minorEastAsia" w:eastAsiaTheme="minorEastAsia" w:cstheme="minorEastAsia"/>
                <w:color w:val="auto"/>
                <w:sz w:val="21"/>
                <w:szCs w:val="21"/>
              </w:rPr>
            </w:pPr>
          </w:p>
        </w:tc>
        <w:tc>
          <w:tcPr>
            <w:tcW w:w="10830" w:type="dxa"/>
            <w:vAlign w:val="center"/>
          </w:tcPr>
          <w:p>
            <w:pPr>
              <w:spacing w:line="240" w:lineRule="auto"/>
              <w:ind w:firstLine="500" w:firstLineChars="200"/>
              <w:rPr>
                <w:rFonts w:hint="eastAsia" w:asciiTheme="minorEastAsia" w:hAnsiTheme="minorEastAsia" w:eastAsiaTheme="minorEastAsia" w:cstheme="minorEastAsia"/>
                <w:color w:val="auto"/>
                <w:spacing w:val="20"/>
                <w:sz w:val="21"/>
                <w:szCs w:val="21"/>
                <w:lang w:val="de-DE"/>
              </w:rPr>
            </w:pPr>
            <w:r>
              <w:rPr>
                <w:rFonts w:hint="eastAsia" w:asciiTheme="minorEastAsia" w:hAnsiTheme="minorEastAsia" w:eastAsiaTheme="minorEastAsia" w:cstheme="minorEastAsia"/>
                <w:color w:val="auto"/>
                <w:spacing w:val="20"/>
                <w:sz w:val="21"/>
                <w:szCs w:val="21"/>
                <w:lang w:val="de-DE"/>
              </w:rPr>
              <w:t>江西白莲智能科技集团有限公司成立于2002年05月23日，注册地位于江西省九江市永修县新城县城工业园集中区。是智能型密集架、智能书架的现代化专业厂家。</w:t>
            </w:r>
          </w:p>
          <w:p>
            <w:pPr>
              <w:spacing w:line="240" w:lineRule="auto"/>
              <w:ind w:firstLine="50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0"/>
                <w:sz w:val="21"/>
                <w:szCs w:val="21"/>
                <w:lang w:val="de-DE"/>
              </w:rPr>
              <w:t>公司规模大，起点高，设备先进，技术力量雄厚。注册资金</w:t>
            </w:r>
            <w:r>
              <w:rPr>
                <w:rFonts w:hint="eastAsia" w:asciiTheme="minorEastAsia" w:hAnsiTheme="minorEastAsia" w:eastAsiaTheme="minorEastAsia" w:cstheme="minorEastAsia"/>
                <w:color w:val="auto"/>
                <w:spacing w:val="20"/>
                <w:sz w:val="21"/>
                <w:szCs w:val="21"/>
                <w:lang w:val="en-US" w:eastAsia="zh-CN"/>
              </w:rPr>
              <w:t>6110</w:t>
            </w:r>
            <w:r>
              <w:rPr>
                <w:rFonts w:hint="eastAsia" w:asciiTheme="minorEastAsia" w:hAnsiTheme="minorEastAsia" w:eastAsiaTheme="minorEastAsia" w:cstheme="minorEastAsia"/>
                <w:color w:val="auto"/>
                <w:spacing w:val="20"/>
                <w:sz w:val="21"/>
                <w:szCs w:val="21"/>
                <w:lang w:val="de-DE"/>
              </w:rPr>
              <w:t>万。主要产品有密集架书架系列、</w:t>
            </w:r>
            <w:r>
              <w:rPr>
                <w:rFonts w:hint="eastAsia" w:asciiTheme="minorEastAsia" w:hAnsiTheme="minorEastAsia" w:eastAsiaTheme="minorEastAsia" w:cstheme="minorEastAsia"/>
                <w:color w:val="auto"/>
                <w:spacing w:val="20"/>
                <w:sz w:val="21"/>
                <w:szCs w:val="21"/>
                <w:lang w:val="de-DE" w:eastAsia="zh-CN"/>
              </w:rPr>
              <w:t>书架</w:t>
            </w:r>
            <w:r>
              <w:rPr>
                <w:rFonts w:hint="eastAsia" w:asciiTheme="minorEastAsia" w:hAnsiTheme="minorEastAsia" w:eastAsiaTheme="minorEastAsia" w:cstheme="minorEastAsia"/>
                <w:color w:val="auto"/>
                <w:spacing w:val="20"/>
                <w:sz w:val="21"/>
                <w:szCs w:val="21"/>
                <w:lang w:val="de-DE"/>
              </w:rPr>
              <w:t>系列、</w:t>
            </w:r>
            <w:r>
              <w:rPr>
                <w:rFonts w:hint="eastAsia" w:asciiTheme="minorEastAsia" w:hAnsiTheme="minorEastAsia" w:eastAsiaTheme="minorEastAsia" w:cstheme="minorEastAsia"/>
                <w:color w:val="auto"/>
                <w:spacing w:val="20"/>
                <w:sz w:val="21"/>
                <w:szCs w:val="21"/>
                <w:lang w:val="de-DE" w:eastAsia="zh-CN"/>
              </w:rPr>
              <w:t>安防设备</w:t>
            </w:r>
            <w:r>
              <w:rPr>
                <w:rFonts w:hint="eastAsia" w:asciiTheme="minorEastAsia" w:hAnsiTheme="minorEastAsia" w:eastAsiaTheme="minorEastAsia" w:cstheme="minorEastAsia"/>
                <w:color w:val="auto"/>
                <w:spacing w:val="20"/>
                <w:sz w:val="21"/>
                <w:szCs w:val="21"/>
                <w:lang w:val="de-DE"/>
              </w:rPr>
              <w:t>系列、军用枪支柜系列、办公教仪设备及货架等五大系列共五百余个品种。</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营业执照经现场审核查证符合要求，见附件。</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在确定管理体系范围时公司考虑了以下内容：a各种内部和外部因素；b相关方的要求，包括相关合规义务；c组织的活动、产品和产品；d其组织单元、职能和物理边界。</w:t>
            </w:r>
          </w:p>
          <w:p>
            <w:pPr>
              <w:spacing w:line="24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认证范围为：</w:t>
            </w:r>
          </w:p>
          <w:p>
            <w:pPr>
              <w:spacing w:line="240" w:lineRule="auto"/>
              <w:rPr>
                <w:rFonts w:hint="eastAsia" w:asciiTheme="minorEastAsia" w:hAnsiTheme="minorEastAsia" w:eastAsiaTheme="minorEastAsia" w:cstheme="minorEastAsia"/>
                <w:color w:val="auto"/>
                <w:sz w:val="21"/>
                <w:szCs w:val="21"/>
              </w:rPr>
            </w:pPr>
            <w:bookmarkStart w:id="0" w:name="审核范围"/>
            <w:r>
              <w:rPr>
                <w:rFonts w:hint="eastAsia" w:asciiTheme="minorEastAsia" w:hAnsiTheme="minorEastAsia" w:eastAsiaTheme="minorEastAsia" w:cstheme="minorEastAsia"/>
                <w:color w:val="auto"/>
                <w:sz w:val="21"/>
                <w:szCs w:val="21"/>
              </w:rPr>
              <w:t>E：密集架(智能型密集架、手动密集架、无轨密集架、电动密集架)；书架（智能书架、不锈钢书架、钢木书架、期刊架、报架）；档案馆设备（智慧馆库、智能书车、智能储物柜（指纹人脸识别、语音识别、指静脉、刷卡、扫码开启方式）、智能手机屏蔽柜、智能物证（卷宗）柜、文件柜、防磁柜、博物馆珍藏架、文物柜架）；医用家具（药品柜、智能药品柜、药架、中药柜、导诊台（护士站））；床（共享陪护床、军用床、公寓床）；校用家具（仪器柜、阅览桌椅、讲台、电脑桌、金属架柜、课桌椅）；保险箱（智能快递柜、智能枪弹柜、智能枪弹一体柜、枪弹柜）的设计、生产、售后服务(安装、施工)及其所涉及的环境管理活动</w:t>
            </w:r>
          </w:p>
          <w:p>
            <w:pPr>
              <w:pStyle w:val="2"/>
              <w:spacing w:line="240" w:lineRule="auto"/>
              <w:ind w:firstLine="46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O：密集架(智能型密集架、手动密集架、无轨密集架、电动密集架)；书架（智能书架、不锈钢书架、钢木书架、期刊架、报架）；档案馆设备（智慧馆库、智能书车、智能储物柜（指纹人脸识别、语音识别、指静脉、刷卡、扫码开启方式）、智能手机屏蔽柜、智能物证（卷宗）柜、文件柜、防磁柜、博物馆珍藏架、文物柜架）；医用家具（药品柜、智能药品柜、药架、中药柜、导诊台（护士站））；床（共享陪护床、军用床、公寓床）；校用家具（仪器柜、阅览桌椅、讲台、电脑桌、金属架柜、课桌椅）；保险箱（智能快递柜、智能枪弹柜、智能枪弹一体柜、枪弹柜）的设计、生产、售后服务(安装、施工)及其所涉及的职业健康安全管理活动</w:t>
            </w:r>
            <w:bookmarkEnd w:id="0"/>
            <w:r>
              <w:rPr>
                <w:rFonts w:hint="eastAsia" w:asciiTheme="minorEastAsia" w:hAnsiTheme="minorEastAsia" w:eastAsiaTheme="minorEastAsia" w:cstheme="minorEastAsia"/>
                <w:color w:val="auto"/>
                <w:sz w:val="21"/>
                <w:szCs w:val="21"/>
              </w:rPr>
              <w:t xml:space="preserve">   </w:t>
            </w:r>
          </w:p>
        </w:tc>
        <w:tc>
          <w:tcPr>
            <w:tcW w:w="759"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hint="eastAsia"/>
                <w:color w:val="auto"/>
              </w:rPr>
            </w:pPr>
          </w:p>
        </w:tc>
        <w:tc>
          <w:tcPr>
            <w:tcW w:w="960" w:type="dxa"/>
            <w:vAlign w:val="top"/>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 xml:space="preserve">/O </w:t>
            </w:r>
            <w:r>
              <w:rPr>
                <w:rFonts w:hint="eastAsia" w:ascii="宋体" w:hAnsi="宋体" w:cs="宋体"/>
                <w:szCs w:val="21"/>
              </w:rPr>
              <w:t>4.2</w:t>
            </w:r>
          </w:p>
          <w:p>
            <w:pPr>
              <w:spacing w:line="280" w:lineRule="exact"/>
              <w:rPr>
                <w:rFonts w:hint="eastAsia"/>
                <w:color w:val="auto"/>
              </w:rPr>
            </w:pPr>
          </w:p>
        </w:tc>
        <w:tc>
          <w:tcPr>
            <w:tcW w:w="10830" w:type="dxa"/>
            <w:vAlign w:val="center"/>
          </w:tcPr>
          <w:p>
            <w:pPr>
              <w:spacing w:line="280" w:lineRule="exact"/>
              <w:ind w:firstLine="420" w:firstLineChars="200"/>
              <w:rPr>
                <w:rFonts w:ascii="宋体" w:hAnsi="宋体" w:cs="宋体"/>
                <w:szCs w:val="21"/>
              </w:rPr>
            </w:pPr>
            <w:r>
              <w:rPr>
                <w:rFonts w:hint="eastAsia" w:ascii="宋体" w:hAnsi="宋体" w:cs="宋体"/>
                <w:szCs w:val="21"/>
              </w:rPr>
              <w:t>本公司确定以下相关方：--顾客；--最终用户或受益人；--顾客，股东；---外部供应商；--雇员及其他为组织工作者；--法律法规及监管机关；--地方社区团体；--非政府组织等。</w:t>
            </w:r>
          </w:p>
          <w:p>
            <w:pPr>
              <w:spacing w:line="280" w:lineRule="exact"/>
              <w:ind w:firstLine="420" w:firstLineChars="200"/>
              <w:rPr>
                <w:rFonts w:ascii="宋体" w:hAnsi="宋体" w:cs="宋体"/>
                <w:szCs w:val="21"/>
              </w:rPr>
            </w:pPr>
            <w:r>
              <w:rPr>
                <w:rFonts w:hint="eastAsia" w:ascii="宋体" w:hAnsi="宋体" w:cs="宋体"/>
                <w:szCs w:val="21"/>
              </w:rPr>
              <w:t>公司为此确定了：a与管理体系有关的相关方，我们公司特别是关注外供方和顾客；b这些相关方的要求；c.这些要求和期望中哪些会成为合规义务。相关方的需求和期望得到充分理解，可以帮助本公司更好的建立公司方针和目标，做到目的更明确。以满足相关方的要求并争取做到更高的期望值。</w:t>
            </w:r>
          </w:p>
          <w:p>
            <w:pPr>
              <w:spacing w:line="280" w:lineRule="exact"/>
              <w:ind w:firstLine="420" w:firstLineChars="200"/>
              <w:rPr>
                <w:rFonts w:hint="eastAsia"/>
                <w:color w:val="auto"/>
                <w:sz w:val="21"/>
                <w:szCs w:val="21"/>
              </w:rPr>
            </w:pPr>
            <w:r>
              <w:rPr>
                <w:rFonts w:hint="eastAsia" w:ascii="宋体" w:hAnsi="宋体" w:cs="宋体"/>
                <w:szCs w:val="21"/>
              </w:rPr>
              <w:t>目前顾客的主要需求期望是：提供使用方便，满足环保要求，质量稳定的产品。公司对这些相关方及其要求的相关信息进行监视和评审，以便于理解和持续满足相关方的需求和期望。</w:t>
            </w:r>
          </w:p>
        </w:tc>
        <w:tc>
          <w:tcPr>
            <w:tcW w:w="759"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hint="eastAsia"/>
                <w:color w:val="auto"/>
              </w:rPr>
            </w:pPr>
          </w:p>
        </w:tc>
        <w:tc>
          <w:tcPr>
            <w:tcW w:w="960" w:type="dxa"/>
            <w:vAlign w:val="top"/>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 xml:space="preserve">/O </w:t>
            </w:r>
            <w:r>
              <w:rPr>
                <w:rFonts w:hint="eastAsia" w:ascii="宋体" w:hAnsi="宋体" w:cs="宋体"/>
                <w:szCs w:val="21"/>
              </w:rPr>
              <w:t>4.4</w:t>
            </w:r>
          </w:p>
          <w:p>
            <w:pPr>
              <w:spacing w:line="280" w:lineRule="exact"/>
              <w:rPr>
                <w:rFonts w:hint="eastAsia"/>
                <w:color w:val="auto"/>
              </w:rPr>
            </w:pPr>
          </w:p>
        </w:tc>
        <w:tc>
          <w:tcPr>
            <w:tcW w:w="10830" w:type="dxa"/>
            <w:vAlign w:val="center"/>
          </w:tcPr>
          <w:p>
            <w:pPr>
              <w:spacing w:line="280" w:lineRule="exact"/>
              <w:rPr>
                <w:rFonts w:ascii="宋体" w:hAnsi="宋体" w:cs="宋体"/>
                <w:szCs w:val="21"/>
              </w:rPr>
            </w:pPr>
            <w:r>
              <w:rPr>
                <w:rFonts w:hint="eastAsia" w:ascii="宋体" w:hAnsi="宋体" w:cs="宋体"/>
                <w:szCs w:val="21"/>
              </w:rPr>
              <w:t>公司确保按照标准的要求，建立、实施、保持和持续改进环境、职业健康安全管理体系，包括所需过程及其相互作用。公司确定环境、职业健康安全管理体系所需的过程及其在整个组织中的应用。</w:t>
            </w:r>
          </w:p>
          <w:p>
            <w:pPr>
              <w:jc w:val="left"/>
              <w:rPr>
                <w:rFonts w:hint="eastAsia"/>
                <w:color w:val="auto"/>
                <w:sz w:val="21"/>
                <w:szCs w:val="21"/>
              </w:rPr>
            </w:pPr>
            <w:r>
              <w:rPr>
                <w:rFonts w:hint="eastAsia" w:ascii="宋体" w:hAnsi="宋体" w:cs="宋体"/>
                <w:szCs w:val="21"/>
              </w:rPr>
              <w:t>公司按照标准建立了文件化的管理体系，编制了质量/环境/职业健康安全管理手册</w:t>
            </w:r>
            <w:r>
              <w:rPr>
                <w:rFonts w:hint="eastAsia" w:ascii="宋体" w:hAnsi="宋体" w:cs="宋体"/>
                <w:szCs w:val="21"/>
                <w:lang w:eastAsia="zh-CN"/>
              </w:rPr>
              <w:t>、</w:t>
            </w:r>
            <w:r>
              <w:rPr>
                <w:rFonts w:hint="eastAsia" w:ascii="宋体" w:hAnsi="宋体" w:cs="宋体"/>
                <w:szCs w:val="21"/>
              </w:rPr>
              <w:t>程序文件、管理制度、作业指导书、检验要求、合规性评价等；并对各个过程的监控进行了基本记录，形成了相关文件化信息，为过程运行提供了支持，以证实过程按照策划执行。</w:t>
            </w:r>
          </w:p>
        </w:tc>
        <w:tc>
          <w:tcPr>
            <w:tcW w:w="759"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ascii="宋体" w:hAnsi="宋体" w:cs="宋体"/>
                <w:color w:val="auto"/>
                <w:szCs w:val="21"/>
              </w:rPr>
            </w:pPr>
            <w:r>
              <w:rPr>
                <w:rFonts w:hint="eastAsia" w:ascii="宋体" w:hAnsi="宋体" w:cs="宋体"/>
                <w:color w:val="auto"/>
                <w:szCs w:val="21"/>
              </w:rPr>
              <w:t>领导作用与承诺</w:t>
            </w:r>
          </w:p>
          <w:p>
            <w:pPr>
              <w:spacing w:line="280" w:lineRule="exact"/>
              <w:rPr>
                <w:rFonts w:hint="eastAsia"/>
                <w:color w:val="auto"/>
              </w:rPr>
            </w:pPr>
            <w:r>
              <w:rPr>
                <w:rFonts w:hint="eastAsia" w:ascii="宋体" w:hAnsi="宋体" w:cs="宋体"/>
                <w:color w:val="auto"/>
                <w:szCs w:val="21"/>
              </w:rPr>
              <w:t>--总则</w:t>
            </w:r>
          </w:p>
        </w:tc>
        <w:tc>
          <w:tcPr>
            <w:tcW w:w="960" w:type="dxa"/>
            <w:vAlign w:val="top"/>
          </w:tcPr>
          <w:p>
            <w:pPr>
              <w:spacing w:line="280" w:lineRule="exact"/>
              <w:rPr>
                <w:rFonts w:ascii="宋体" w:hAnsi="宋体" w:cs="宋体"/>
                <w:color w:val="auto"/>
                <w:szCs w:val="21"/>
              </w:rPr>
            </w:pPr>
            <w:r>
              <w:rPr>
                <w:rFonts w:hint="eastAsia" w:ascii="宋体" w:hAnsi="宋体" w:cs="宋体"/>
                <w:color w:val="auto"/>
                <w:szCs w:val="21"/>
              </w:rPr>
              <w:t>E</w:t>
            </w:r>
            <w:r>
              <w:rPr>
                <w:rFonts w:ascii="宋体" w:hAnsi="宋体" w:cs="宋体"/>
                <w:color w:val="auto"/>
                <w:szCs w:val="21"/>
              </w:rPr>
              <w:t>/O</w:t>
            </w:r>
            <w:r>
              <w:rPr>
                <w:rFonts w:hint="eastAsia" w:ascii="宋体" w:hAnsi="宋体" w:cs="宋体"/>
                <w:color w:val="auto"/>
                <w:szCs w:val="21"/>
              </w:rPr>
              <w:t xml:space="preserve"> 5.1</w:t>
            </w:r>
          </w:p>
          <w:p>
            <w:pPr>
              <w:spacing w:line="280" w:lineRule="exact"/>
              <w:rPr>
                <w:rFonts w:hint="eastAsia"/>
                <w:color w:val="auto"/>
              </w:rPr>
            </w:pPr>
          </w:p>
        </w:tc>
        <w:tc>
          <w:tcPr>
            <w:tcW w:w="10830" w:type="dxa"/>
            <w:vAlign w:val="center"/>
          </w:tcPr>
          <w:p>
            <w:pPr>
              <w:pStyle w:val="2"/>
              <w:spacing w:line="240" w:lineRule="auto"/>
              <w:ind w:firstLine="460" w:firstLineChars="200"/>
              <w:rPr>
                <w:rFonts w:asciiTheme="minorEastAsia" w:hAnsiTheme="minorEastAsia" w:eastAsiaTheme="minorEastAsia" w:cstheme="minorEastAsia"/>
                <w:color w:val="auto"/>
                <w:szCs w:val="21"/>
              </w:rPr>
            </w:pPr>
            <w:r>
              <w:rPr>
                <w:rFonts w:hint="eastAsia" w:ascii="宋体" w:hAnsi="宋体" w:cs="宋体"/>
                <w:color w:val="auto"/>
                <w:szCs w:val="21"/>
              </w:rPr>
              <w:t>通过管理评审、内部审核及有效实施纠正、改进措施等方法来有效完善和持续发展公司的管理体系。公司管理者代表</w:t>
            </w:r>
            <w:r>
              <w:rPr>
                <w:rFonts w:hint="eastAsia" w:ascii="宋体" w:hAnsi="宋体" w:cs="宋体"/>
                <w:color w:val="auto"/>
                <w:szCs w:val="21"/>
                <w:lang w:val="en-US" w:eastAsia="zh-CN"/>
              </w:rPr>
              <w:t>由总经理</w:t>
            </w:r>
            <w:r>
              <w:rPr>
                <w:rFonts w:hint="eastAsia" w:ascii="宋体" w:hAnsi="宋体" w:cs="宋体"/>
                <w:color w:val="auto"/>
                <w:szCs w:val="21"/>
                <w:lang w:eastAsia="zh-CN"/>
              </w:rPr>
              <w:t>石仕义</w:t>
            </w:r>
            <w:r>
              <w:rPr>
                <w:rFonts w:hint="eastAsia" w:ascii="宋体" w:hAnsi="宋体" w:cs="宋体"/>
                <w:color w:val="auto"/>
                <w:szCs w:val="21"/>
                <w:lang w:val="en-US" w:eastAsia="zh-CN"/>
              </w:rPr>
              <w:t>兼职</w:t>
            </w:r>
            <w:r>
              <w:rPr>
                <w:rFonts w:hint="eastAsia" w:ascii="宋体" w:hAnsi="宋体" w:cs="宋体"/>
                <w:color w:val="auto"/>
                <w:szCs w:val="21"/>
              </w:rPr>
              <w:t>，</w:t>
            </w:r>
            <w:r>
              <w:rPr>
                <w:rFonts w:hint="eastAsia" w:asciiTheme="minorEastAsia" w:hAnsiTheme="minorEastAsia" w:eastAsiaTheme="minorEastAsia" w:cstheme="minorEastAsia"/>
                <w:color w:val="auto"/>
                <w:szCs w:val="21"/>
              </w:rPr>
              <w:t>与管代交谈，职责清楚，沟通顺畅。</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总经理通过如下方式（主要以会议、培训、交流、文件和记录等型式）对其建立、实施和改进环境管理体系的承诺提供证据。 </w:t>
            </w:r>
          </w:p>
          <w:p>
            <w:pPr>
              <w:numPr>
                <w:ilvl w:val="0"/>
                <w:numId w:val="4"/>
              </w:numPr>
              <w:spacing w:after="16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通过会议、培训、宣传等型式及时向本公司各级各类人员传达满足顾客和法律、法规要求的重要性；确保环境体系在各业务单位中的贯彻； </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（b）制定和批准本公司的环境、职业健康安全方针； </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（c）在环境方针提供的框架内制定环境、职业健康安全目标、关键绩效参数，并分解到各个层次； </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（d）每年至少组织一次管理评审；鼓励员工对环境管理体系做出贡献； </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（e）确保本公司环境管理体系运作能获得必要的资源，包括人力资源、基础设施和工作环境，确保产品满足要求，体系有效运行，并得到持续改进。</w:t>
            </w:r>
          </w:p>
          <w:p>
            <w:pPr>
              <w:ind w:firstLine="420" w:firstLineChars="200"/>
              <w:rPr>
                <w:rFonts w:hint="eastAsia"/>
                <w:color w:val="auto"/>
                <w:sz w:val="21"/>
                <w:szCs w:val="21"/>
              </w:rPr>
            </w:pPr>
            <w:r>
              <w:rPr>
                <w:rFonts w:hint="eastAsia" w:ascii="宋体" w:hAnsi="宋体" w:cs="宋体"/>
                <w:color w:val="auto"/>
                <w:szCs w:val="21"/>
              </w:rPr>
              <w:t>通过交谈了解，总经理能够清晰的回答所应该付出的责任及义务，认真投入体系运行过程中，起到了应有的领导作用。</w:t>
            </w:r>
          </w:p>
        </w:tc>
        <w:tc>
          <w:tcPr>
            <w:tcW w:w="759"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环境方针</w:t>
            </w:r>
          </w:p>
          <w:p>
            <w:pPr>
              <w:pStyle w:val="2"/>
              <w:spacing w:line="240" w:lineRule="auto"/>
              <w:rPr>
                <w:rFonts w:hint="eastAsia" w:asciiTheme="minorEastAsia" w:hAnsiTheme="minorEastAsia" w:eastAsiaTheme="minorEastAsia" w:cstheme="minorEastAsia"/>
                <w:color w:val="auto"/>
                <w:sz w:val="21"/>
                <w:szCs w:val="21"/>
              </w:rPr>
            </w:pPr>
          </w:p>
          <w:p>
            <w:pPr>
              <w:pStyle w:val="2"/>
              <w:spacing w:line="240" w:lineRule="auto"/>
              <w:rPr>
                <w:rFonts w:hint="eastAsia" w:asciiTheme="minorEastAsia" w:hAnsiTheme="minorEastAsia" w:eastAsiaTheme="minorEastAsia" w:cstheme="minorEastAsia"/>
                <w:color w:val="auto"/>
                <w:sz w:val="21"/>
                <w:szCs w:val="21"/>
              </w:rPr>
            </w:pP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环境管理目标及其实现的策划</w:t>
            </w:r>
          </w:p>
          <w:p>
            <w:pPr>
              <w:pStyle w:val="2"/>
              <w:spacing w:line="240" w:lineRule="auto"/>
              <w:rPr>
                <w:rFonts w:hint="eastAsia" w:asciiTheme="minorEastAsia" w:hAnsiTheme="minorEastAsia" w:eastAsiaTheme="minorEastAsia" w:cstheme="minorEastAsia"/>
                <w:color w:val="auto"/>
                <w:sz w:val="21"/>
                <w:szCs w:val="21"/>
              </w:rPr>
            </w:pPr>
          </w:p>
        </w:tc>
        <w:tc>
          <w:tcPr>
            <w:tcW w:w="960" w:type="dxa"/>
            <w:vAlign w:val="top"/>
          </w:tcPr>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E/O 5.2</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E/O 6.2</w:t>
            </w:r>
          </w:p>
          <w:p>
            <w:pPr>
              <w:spacing w:line="240" w:lineRule="auto"/>
              <w:rPr>
                <w:rFonts w:hint="eastAsia" w:asciiTheme="minorEastAsia" w:hAnsiTheme="minorEastAsia" w:eastAsiaTheme="minorEastAsia" w:cstheme="minorEastAsia"/>
                <w:color w:val="auto"/>
                <w:sz w:val="21"/>
                <w:szCs w:val="21"/>
              </w:rPr>
            </w:pPr>
          </w:p>
        </w:tc>
        <w:tc>
          <w:tcPr>
            <w:tcW w:w="10830" w:type="dxa"/>
            <w:vAlign w:val="center"/>
          </w:tcPr>
          <w:p>
            <w:pPr>
              <w:tabs>
                <w:tab w:val="left" w:pos="720"/>
              </w:tabs>
              <w:spacing w:line="240" w:lineRule="auto"/>
              <w:rPr>
                <w:rFonts w:hint="eastAsia" w:asciiTheme="minorEastAsia" w:hAnsiTheme="minorEastAsia" w:eastAsiaTheme="minorEastAsia" w:cstheme="minorEastAsia"/>
                <w:b/>
                <w:bCs/>
                <w:color w:val="auto"/>
                <w:spacing w:val="20"/>
                <w:sz w:val="21"/>
                <w:szCs w:val="21"/>
              </w:rPr>
            </w:pPr>
            <w:r>
              <w:rPr>
                <w:rFonts w:hint="eastAsia" w:asciiTheme="minorEastAsia" w:hAnsiTheme="minorEastAsia" w:eastAsiaTheme="minorEastAsia" w:cstheme="minorEastAsia"/>
                <w:b/>
                <w:bCs/>
                <w:color w:val="auto"/>
                <w:spacing w:val="20"/>
                <w:sz w:val="21"/>
                <w:szCs w:val="21"/>
              </w:rPr>
              <w:t>环境职业健康安全方针：</w:t>
            </w:r>
          </w:p>
          <w:p>
            <w:pPr>
              <w:tabs>
                <w:tab w:val="left" w:pos="720"/>
              </w:tabs>
              <w:spacing w:line="24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pacing w:val="20"/>
                <w:sz w:val="21"/>
                <w:szCs w:val="21"/>
              </w:rPr>
              <w:t>预防为主，降低风险；遵章守法，创造和谐</w:t>
            </w:r>
            <w:r>
              <w:rPr>
                <w:rFonts w:hint="eastAsia" w:asciiTheme="minorEastAsia" w:hAnsiTheme="minorEastAsia" w:eastAsiaTheme="minorEastAsia" w:cstheme="minorEastAsia"/>
                <w:b/>
                <w:bCs/>
                <w:color w:val="auto"/>
                <w:sz w:val="21"/>
                <w:szCs w:val="21"/>
              </w:rPr>
              <w:t xml:space="preserve">                  </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环境、安全目标指标</w:t>
            </w:r>
            <w:r>
              <w:rPr>
                <w:rFonts w:hint="eastAsia" w:asciiTheme="minorEastAsia" w:hAnsiTheme="minorEastAsia" w:eastAsiaTheme="minorEastAsia" w:cstheme="minorEastAsia"/>
                <w:color w:val="auto"/>
                <w:sz w:val="21"/>
                <w:szCs w:val="21"/>
              </w:rPr>
              <w:t>：</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1）固体废弃物100%分类，合理处理；</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2）环境污染事故发生率为零</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3）各类重伤以上事故发生率为零； </w:t>
            </w:r>
          </w:p>
          <w:p>
            <w:pPr>
              <w:pStyle w:val="2"/>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4）火灾事故发生率为零。</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总经理进行交谈，总经理对方针内涵的理解较深刻。方针能为制定目标提供框架，方针基本符合标准的要求。总经理用会议、文件等手段保证管理方针为全体员工理解并落实到工作中。总经理说管理评审时对方针的持续适宜性进行了评审。</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方针通过文件、培训等形式将公司管理方针传达给所有为公司工作或代表公司的人员，相关方也可通过行政部获取公司管理方针。</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公司对管理体系所需的相关职能、层次和过程设定管理目标。</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color w:val="auto"/>
                <w:sz w:val="21"/>
                <w:szCs w:val="21"/>
              </w:rPr>
              <w:t>目标可测量，与公司管理方针一致。</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每季度由综合部按公司管理目标考核要求统计考核公司管理目标完成情况，提交管理评审会议。查到今年第一季度公司管理目标完成情况，各项目标均已完成，针对重要环境因素及危险源制订了管理方案并予以实施，基本有效，详见综合部该条款审核记录。</w:t>
            </w:r>
          </w:p>
        </w:tc>
        <w:tc>
          <w:tcPr>
            <w:tcW w:w="759"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color w:val="auto"/>
              </w:rPr>
              <w:t>组织的岗位、职责权限</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color w:val="auto"/>
              </w:rPr>
              <w:t>EO5.3</w:t>
            </w:r>
          </w:p>
        </w:tc>
        <w:tc>
          <w:tcPr>
            <w:tcW w:w="10830" w:type="dxa"/>
            <w:vAlign w:val="center"/>
          </w:tcPr>
          <w:p>
            <w:pPr>
              <w:spacing w:line="280" w:lineRule="exact"/>
              <w:ind w:firstLine="420" w:firstLineChars="200"/>
              <w:rPr>
                <w:rFonts w:ascii="宋体" w:hAnsi="宋体" w:cs="宋体"/>
                <w:color w:val="auto"/>
                <w:szCs w:val="21"/>
              </w:rPr>
            </w:pPr>
            <w:r>
              <w:rPr>
                <w:rFonts w:hint="eastAsia" w:ascii="宋体" w:hAnsi="宋体" w:cs="宋体"/>
                <w:color w:val="auto"/>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w:t>
            </w:r>
          </w:p>
          <w:p>
            <w:pPr>
              <w:spacing w:line="280" w:lineRule="exact"/>
              <w:ind w:firstLine="420" w:firstLineChars="200"/>
              <w:rPr>
                <w:rFonts w:ascii="宋体" w:hAnsi="宋体" w:cs="宋体"/>
                <w:color w:val="auto"/>
                <w:szCs w:val="21"/>
              </w:rPr>
            </w:pPr>
            <w:r>
              <w:rPr>
                <w:rFonts w:hint="eastAsia" w:ascii="宋体" w:hAnsi="宋体" w:cs="宋体"/>
                <w:color w:val="auto"/>
                <w:szCs w:val="21"/>
              </w:rPr>
              <w:t>公司为了有效和高效地实现并保持环境、职业健康安全管理体系，贯彻环境、安全方针及实现环境、安全目标，建立了完善的组织机构（见管理手册中附录：公司环境管理组织机构图），规定了各部门在环境、职业健康安全活动中相应的职能以及相关的职责与权限</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宋体" w:hAnsi="宋体" w:cs="宋体"/>
                <w:color w:val="auto"/>
                <w:szCs w:val="21"/>
              </w:rPr>
              <w:t>分别与总经理</w:t>
            </w:r>
            <w:r>
              <w:rPr>
                <w:rFonts w:hint="eastAsia" w:ascii="宋体" w:hAnsi="宋体" w:cs="宋体"/>
                <w:color w:val="auto"/>
                <w:szCs w:val="21"/>
                <w:lang w:val="en-US" w:eastAsia="zh-CN"/>
              </w:rPr>
              <w:t>兼</w:t>
            </w:r>
            <w:r>
              <w:rPr>
                <w:rFonts w:hint="eastAsia" w:ascii="宋体" w:hAnsi="宋体" w:cs="宋体"/>
                <w:color w:val="auto"/>
                <w:szCs w:val="21"/>
              </w:rPr>
              <w:t>管代</w:t>
            </w:r>
            <w:r>
              <w:rPr>
                <w:rFonts w:hint="eastAsia" w:ascii="宋体" w:hAnsi="宋体" w:cs="宋体"/>
                <w:color w:val="auto"/>
                <w:szCs w:val="21"/>
                <w:lang w:eastAsia="zh-CN"/>
              </w:rPr>
              <w:t>石仕义</w:t>
            </w:r>
            <w:r>
              <w:rPr>
                <w:rFonts w:hint="eastAsia" w:ascii="宋体" w:hAnsi="宋体" w:cs="宋体"/>
                <w:color w:val="auto"/>
                <w:szCs w:val="21"/>
              </w:rPr>
              <w:t>沟通 ，职责回答正确。</w:t>
            </w:r>
          </w:p>
        </w:tc>
        <w:tc>
          <w:tcPr>
            <w:tcW w:w="759"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宋体" w:hAnsi="宋体" w:cs="宋体"/>
                <w:szCs w:val="21"/>
              </w:rPr>
              <w:t>工作人员的协商和参与</w:t>
            </w:r>
          </w:p>
        </w:tc>
        <w:tc>
          <w:tcPr>
            <w:tcW w:w="960" w:type="dxa"/>
            <w:vAlign w:val="top"/>
          </w:tcPr>
          <w:p>
            <w:pPr>
              <w:spacing w:line="280" w:lineRule="exact"/>
              <w:rPr>
                <w:rFonts w:ascii="宋体" w:hAnsi="Times New Roman" w:eastAsia="宋体" w:cs="宋体"/>
                <w:color w:val="auto"/>
                <w:szCs w:val="21"/>
              </w:rPr>
            </w:pPr>
            <w:r>
              <w:rPr>
                <w:rFonts w:hint="eastAsia" w:ascii="宋体" w:hAnsi="Times New Roman" w:eastAsia="宋体" w:cs="宋体"/>
                <w:color w:val="auto"/>
                <w:szCs w:val="21"/>
                <w:lang w:val="en-US" w:eastAsia="zh-CN"/>
              </w:rPr>
              <w:t>O</w:t>
            </w:r>
            <w:r>
              <w:rPr>
                <w:rFonts w:ascii="宋体" w:hAnsi="Times New Roman" w:eastAsia="宋体" w:cs="宋体"/>
                <w:color w:val="auto"/>
                <w:szCs w:val="21"/>
              </w:rPr>
              <w:t xml:space="preserve">5.4 </w:t>
            </w:r>
          </w:p>
          <w:p>
            <w:pPr>
              <w:spacing w:line="280" w:lineRule="exact"/>
              <w:rPr>
                <w:rFonts w:hint="default" w:eastAsia="宋体"/>
                <w:color w:val="auto"/>
                <w:lang w:val="en-US" w:eastAsia="zh-CN"/>
              </w:rPr>
            </w:pPr>
            <w:r>
              <w:rPr>
                <w:rFonts w:hint="eastAsia" w:ascii="宋体" w:hAnsi="Times New Roman" w:eastAsia="宋体" w:cs="宋体"/>
                <w:color w:val="auto"/>
                <w:szCs w:val="21"/>
                <w:lang w:val="en-US" w:eastAsia="zh-CN"/>
              </w:rPr>
              <w:t>EO7.4</w:t>
            </w:r>
          </w:p>
        </w:tc>
        <w:tc>
          <w:tcPr>
            <w:tcW w:w="10830" w:type="dxa"/>
            <w:vAlign w:val="center"/>
          </w:tcPr>
          <w:p>
            <w:pPr>
              <w:spacing w:line="280" w:lineRule="exact"/>
              <w:ind w:firstLine="420" w:firstLineChars="200"/>
              <w:rPr>
                <w:rFonts w:ascii="宋体" w:hAnsi="宋体" w:cs="宋体"/>
                <w:color w:val="auto"/>
                <w:szCs w:val="21"/>
              </w:rPr>
            </w:pPr>
            <w:r>
              <w:rPr>
                <w:rFonts w:hint="eastAsia" w:ascii="宋体" w:hAnsi="宋体" w:cs="宋体"/>
                <w:color w:val="auto"/>
                <w:szCs w:val="21"/>
              </w:rPr>
              <w:t>建立JXBL-CX04-2020信息交流控制程序</w:t>
            </w:r>
            <w:r>
              <w:rPr>
                <w:rFonts w:ascii="宋体" w:hAnsi="宋体" w:cs="宋体"/>
                <w:color w:val="auto"/>
                <w:szCs w:val="21"/>
              </w:rPr>
              <w:t xml:space="preserve"> </w:t>
            </w:r>
            <w:r>
              <w:rPr>
                <w:rFonts w:hint="eastAsia" w:ascii="宋体" w:hAnsi="宋体" w:cs="宋体"/>
                <w:color w:val="auto"/>
                <w:szCs w:val="21"/>
                <w:lang w:eastAsia="zh-CN"/>
              </w:rPr>
              <w:t>，</w:t>
            </w:r>
            <w:r>
              <w:rPr>
                <w:rFonts w:hint="eastAsia" w:ascii="宋体" w:hAnsi="宋体" w:cs="宋体"/>
                <w:color w:val="auto"/>
                <w:szCs w:val="21"/>
              </w:rPr>
              <w:t>公司经过选举推荐</w:t>
            </w:r>
            <w:r>
              <w:rPr>
                <w:rFonts w:hint="eastAsia" w:asciiTheme="minorEastAsia" w:hAnsiTheme="minorEastAsia" w:eastAsiaTheme="minorEastAsia" w:cstheme="minorEastAsia"/>
                <w:color w:val="auto"/>
                <w:sz w:val="21"/>
                <w:szCs w:val="21"/>
                <w:u w:val="single"/>
                <w:lang w:val="en-US" w:eastAsia="zh-CN"/>
              </w:rPr>
              <w:t xml:space="preserve">柳秋华  </w:t>
            </w:r>
            <w:r>
              <w:rPr>
                <w:rFonts w:hint="eastAsia" w:ascii="宋体" w:hAnsi="宋体" w:cs="宋体"/>
                <w:color w:val="auto"/>
                <w:szCs w:val="21"/>
              </w:rPr>
              <w:t>为员工代表并全程参与职业健康安全体系运行工作。员工代表行使职责为：为协商和参与提供必要的机制、时间、培训和资源；及时提供对明确的、易理解的和相关的职业健康安全管理体系信息的访问渠道；确定和消除妨碍参与的障碍或壁垒，并尽可能减少那些难以消除的障碍或壁垒；如：未回应工作人员的意见和建议，语言或读写障碍，报复或威胁报复，以及不鼓励或惩罚工作人员参与的政策或惯例等。</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宋体" w:hAnsi="宋体" w:cs="宋体"/>
                <w:color w:val="auto"/>
                <w:szCs w:val="21"/>
              </w:rPr>
              <w:t>每年制定培训计划，主要内容涉及职业健康安全方面的法律法规的普及及公司体系文件，如妇女权益保护法，劳动法、危险源的辨识及控制措施的有效性、风险识别与评价等。特别强调非管理类员工参与培训活动，确定他们参与和协商的机制：疫情期间以线上培训为主。</w:t>
            </w:r>
          </w:p>
        </w:tc>
        <w:tc>
          <w:tcPr>
            <w:tcW w:w="759"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hint="eastAsia" w:ascii="宋体" w:hAnsi="宋体" w:cs="宋体"/>
                <w:szCs w:val="21"/>
              </w:rPr>
            </w:pPr>
          </w:p>
        </w:tc>
        <w:tc>
          <w:tcPr>
            <w:tcW w:w="960" w:type="dxa"/>
            <w:vAlign w:val="top"/>
          </w:tcPr>
          <w:p>
            <w:pPr>
              <w:spacing w:line="280" w:lineRule="exact"/>
              <w:rPr>
                <w:rFonts w:ascii="宋体"/>
                <w:szCs w:val="21"/>
              </w:rPr>
            </w:pPr>
            <w:r>
              <w:rPr>
                <w:rFonts w:ascii="宋体" w:cs="宋体"/>
                <w:szCs w:val="21"/>
              </w:rPr>
              <w:t>E/O 6.1.1</w:t>
            </w:r>
          </w:p>
          <w:p>
            <w:pPr>
              <w:spacing w:line="280" w:lineRule="exact"/>
              <w:rPr>
                <w:rFonts w:ascii="宋体" w:hAnsi="宋体" w:cs="宋体"/>
                <w:szCs w:val="21"/>
              </w:rPr>
            </w:pPr>
          </w:p>
          <w:p>
            <w:pPr>
              <w:spacing w:line="280" w:lineRule="exact"/>
              <w:rPr>
                <w:rFonts w:ascii="宋体" w:cs="宋体"/>
                <w:szCs w:val="21"/>
              </w:rPr>
            </w:pPr>
          </w:p>
        </w:tc>
        <w:tc>
          <w:tcPr>
            <w:tcW w:w="10830" w:type="dxa"/>
            <w:vAlign w:val="center"/>
          </w:tcPr>
          <w:p>
            <w:pPr>
              <w:spacing w:line="280" w:lineRule="exact"/>
              <w:rPr>
                <w:rFonts w:ascii="宋体" w:hAnsi="宋体" w:cs="宋体"/>
                <w:szCs w:val="21"/>
              </w:rPr>
            </w:pPr>
            <w:r>
              <w:rPr>
                <w:rFonts w:hint="eastAsia" w:ascii="宋体" w:hAnsi="宋体" w:cs="宋体"/>
                <w:szCs w:val="21"/>
              </w:rPr>
              <w:t>为确保体系有效运行并实现持续改进。可通过确定其需要应对的风险和机遇，策划措施进行处理来确保实现。这些风险和机遇可能与环境因素、危险源、合规义务有关。也可能存在与其他问题有关的风险和机遇，包括环境状况，或相关方的需求和期望，这些都可能影响环境、职业健康安全体系的有效性。公司充分识别了现有的风险及机遇，并制定完善的控制措施。</w:t>
            </w:r>
          </w:p>
          <w:p>
            <w:pPr>
              <w:spacing w:line="280" w:lineRule="exact"/>
              <w:ind w:firstLine="420" w:firstLineChars="200"/>
              <w:rPr>
                <w:rFonts w:ascii="宋体" w:hAnsi="宋体" w:cs="宋体"/>
                <w:szCs w:val="21"/>
              </w:rPr>
            </w:pPr>
            <w:r>
              <w:rPr>
                <w:rFonts w:hint="eastAsia" w:ascii="宋体" w:hAnsi="宋体" w:cs="宋体"/>
                <w:szCs w:val="21"/>
              </w:rPr>
              <w:t>法律法规变化导致的风险；疫情风险如相关方受疫情影响导致不能及时供货、员工由于疫情身体原因导致不能及时回归工作岗位等；</w:t>
            </w:r>
          </w:p>
          <w:p>
            <w:pPr>
              <w:pStyle w:val="2"/>
            </w:pPr>
          </w:p>
          <w:p>
            <w:pPr>
              <w:spacing w:line="280" w:lineRule="exact"/>
              <w:rPr>
                <w:rFonts w:ascii="宋体" w:hAnsi="宋体" w:cs="宋体"/>
                <w:szCs w:val="21"/>
              </w:rPr>
            </w:pPr>
            <w:r>
              <w:rPr>
                <w:rFonts w:hint="eastAsia" w:ascii="宋体" w:hAnsi="宋体" w:cs="宋体"/>
                <w:szCs w:val="21"/>
              </w:rPr>
              <w:t xml:space="preserve">紧急情况可能导致有害环境影响或对公司造成其他影响。在确定潜在的紧急情况（例如：火灾、恶劣天气）时，应当考虑以下内容： </w:t>
            </w:r>
          </w:p>
          <w:p>
            <w:pPr>
              <w:spacing w:line="280" w:lineRule="exact"/>
              <w:ind w:firstLine="420" w:firstLineChars="200"/>
              <w:rPr>
                <w:rFonts w:ascii="宋体" w:hAnsi="宋体" w:cs="宋体"/>
                <w:szCs w:val="21"/>
              </w:rPr>
            </w:pPr>
            <w:r>
              <w:rPr>
                <w:rFonts w:hint="eastAsia" w:ascii="宋体" w:hAnsi="宋体" w:cs="宋体"/>
                <w:szCs w:val="21"/>
              </w:rPr>
              <w:t xml:space="preserve"> ——紧急情况最有可能的类型和规模；  </w:t>
            </w:r>
          </w:p>
          <w:p>
            <w:pPr>
              <w:spacing w:line="280" w:lineRule="exact"/>
              <w:ind w:firstLine="420" w:firstLineChars="200"/>
              <w:rPr>
                <w:rFonts w:ascii="宋体" w:hAnsi="宋体" w:cs="宋体"/>
                <w:szCs w:val="21"/>
              </w:rPr>
            </w:pPr>
            <w:r>
              <w:rPr>
                <w:rFonts w:hint="eastAsia" w:ascii="宋体" w:hAnsi="宋体" w:cs="宋体"/>
                <w:szCs w:val="21"/>
              </w:rPr>
              <w:t xml:space="preserve">——附近设施（例如：工厂、道路）的潜在紧急情况。 </w:t>
            </w:r>
          </w:p>
          <w:p>
            <w:pPr>
              <w:spacing w:line="280" w:lineRule="exact"/>
              <w:rPr>
                <w:rFonts w:ascii="宋体" w:hAnsi="宋体" w:cs="宋体"/>
                <w:szCs w:val="21"/>
              </w:rPr>
            </w:pPr>
            <w:r>
              <w:rPr>
                <w:rFonts w:hint="eastAsia" w:ascii="宋体" w:hAnsi="宋体" w:cs="宋体"/>
                <w:szCs w:val="21"/>
              </w:rPr>
              <w:t>3、制定了危险源辨识与风险评价管理程序，明确风险和机遇事件的识别方法/途径、风险和机遇事件的评估方式、制定主要风险和机遇事件的应对措施的要求、评价这些措施有效性的方法。</w:t>
            </w:r>
          </w:p>
          <w:p>
            <w:pPr>
              <w:spacing w:line="280" w:lineRule="exact"/>
              <w:ind w:firstLine="420" w:firstLineChars="200"/>
              <w:rPr>
                <w:rFonts w:hint="eastAsia" w:ascii="宋体" w:hAnsi="宋体" w:cs="宋体"/>
                <w:szCs w:val="21"/>
              </w:rPr>
            </w:pPr>
            <w:r>
              <w:rPr>
                <w:rFonts w:hint="eastAsia" w:ascii="宋体" w:hAnsi="宋体" w:cs="宋体"/>
                <w:szCs w:val="21"/>
              </w:rPr>
              <w:t>提供了“风险和机遇应对措施”，将需要应对的风险和机遇进行风险分析确定风险级别（一般风险、高风险），并</w:t>
            </w:r>
            <w:r>
              <w:rPr>
                <w:rFonts w:hint="eastAsia" w:ascii="宋体" w:hAnsi="宋体" w:cs="宋体"/>
                <w:szCs w:val="21"/>
                <w:lang w:val="en-US" w:eastAsia="zh-CN"/>
              </w:rPr>
              <w:t>Y</w:t>
            </w:r>
            <w:r>
              <w:rPr>
                <w:rFonts w:hint="eastAsia" w:ascii="宋体" w:hAnsi="宋体" w:cs="宋体"/>
                <w:szCs w:val="21"/>
              </w:rPr>
              <w:t>依据风险等级制定相对应的控制措施，最终在管理评审中评价器控制措施的有效性。</w:t>
            </w:r>
          </w:p>
        </w:tc>
        <w:tc>
          <w:tcPr>
            <w:tcW w:w="759"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80" w:lineRule="exact"/>
              <w:rPr>
                <w:szCs w:val="21"/>
              </w:rPr>
            </w:pPr>
            <w:r>
              <w:rPr>
                <w:rFonts w:hint="eastAsia" w:cs="宋体"/>
                <w:szCs w:val="21"/>
              </w:rPr>
              <w:t>措施的策划</w:t>
            </w:r>
          </w:p>
          <w:p>
            <w:pPr>
              <w:spacing w:line="280" w:lineRule="exact"/>
              <w:ind w:firstLine="420" w:firstLineChars="200"/>
              <w:rPr>
                <w:rFonts w:hint="eastAsia" w:ascii="宋体" w:hAnsi="宋体" w:cs="宋体"/>
                <w:szCs w:val="21"/>
              </w:rPr>
            </w:pPr>
          </w:p>
        </w:tc>
        <w:tc>
          <w:tcPr>
            <w:tcW w:w="960" w:type="dxa"/>
            <w:vAlign w:val="top"/>
          </w:tcPr>
          <w:p>
            <w:pPr>
              <w:spacing w:line="280" w:lineRule="exact"/>
              <w:rPr>
                <w:szCs w:val="21"/>
              </w:rPr>
            </w:pPr>
            <w:r>
              <w:rPr>
                <w:rFonts w:hint="eastAsia"/>
                <w:szCs w:val="21"/>
              </w:rPr>
              <w:t>E</w:t>
            </w:r>
            <w:r>
              <w:rPr>
                <w:szCs w:val="21"/>
              </w:rPr>
              <w:t xml:space="preserve">/O </w:t>
            </w:r>
            <w:r>
              <w:rPr>
                <w:rFonts w:hint="eastAsia"/>
                <w:szCs w:val="21"/>
              </w:rPr>
              <w:t>6.1.4</w:t>
            </w:r>
          </w:p>
          <w:p>
            <w:pPr>
              <w:spacing w:line="280" w:lineRule="exact"/>
              <w:rPr>
                <w:rFonts w:ascii="宋体" w:cs="宋体"/>
                <w:szCs w:val="21"/>
              </w:rPr>
            </w:pPr>
          </w:p>
        </w:tc>
        <w:tc>
          <w:tcPr>
            <w:tcW w:w="10830" w:type="dxa"/>
            <w:vAlign w:val="center"/>
          </w:tcPr>
          <w:p>
            <w:pPr>
              <w:spacing w:line="280" w:lineRule="exact"/>
              <w:ind w:firstLine="420" w:firstLineChars="200"/>
              <w:rPr>
                <w:rFonts w:ascii="宋体" w:hAnsi="宋体" w:cs="宋体"/>
                <w:szCs w:val="21"/>
              </w:rPr>
            </w:pPr>
            <w:r>
              <w:rPr>
                <w:rFonts w:hint="eastAsia" w:ascii="宋体" w:hAnsi="宋体" w:cs="宋体"/>
                <w:szCs w:val="21"/>
              </w:rPr>
              <w:t>公司在高层面上策划环境、职业健康安全管理体系中应采取的措施，以管理其重要环境因素、重大危险源、合规义务。公司优先考虑的风险和机遇，以确保管理体系的有效运行。策划的措施可包括建立环境、职业健康安全目标，或可独立或整合融入其他的管理体系过程。也可通过其他管理体系提出一些措施。 </w:t>
            </w:r>
          </w:p>
          <w:p>
            <w:pPr>
              <w:spacing w:line="280" w:lineRule="exact"/>
              <w:ind w:firstLine="420" w:firstLineChars="200"/>
              <w:rPr>
                <w:rFonts w:hint="eastAsia" w:ascii="宋体" w:hAnsi="宋体" w:cs="宋体"/>
                <w:szCs w:val="21"/>
              </w:rPr>
            </w:pPr>
            <w:r>
              <w:rPr>
                <w:rFonts w:hint="eastAsia" w:ascii="宋体" w:hAnsi="宋体" w:cs="宋体"/>
                <w:szCs w:val="21"/>
              </w:rPr>
              <w:t>在制定目标指标前，综合部负责制定目标及管理方案，管理方案中明确为实现目标和指标的责任部门及完成时间；具体措施和经费预算都由总经理批准。环境管理方案的实施行政部每季度对方案实施情况进行检查跟踪向总经理报告；一般在管理评审之前对环境目标及管理方案由行政部对其进行评审，并将完成情况以书面形式呈报管理者代表，以便提交管理评审。</w:t>
            </w:r>
          </w:p>
        </w:tc>
        <w:tc>
          <w:tcPr>
            <w:tcW w:w="759"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0" w:type="dxa"/>
            <w:vAlign w:val="top"/>
          </w:tcPr>
          <w:p>
            <w:pPr>
              <w:spacing w:line="280" w:lineRule="exact"/>
              <w:rPr>
                <w:rFonts w:ascii="宋体" w:hAnsi="宋体" w:cs="宋体"/>
                <w:szCs w:val="21"/>
              </w:rPr>
            </w:pPr>
            <w:r>
              <w:rPr>
                <w:rFonts w:hint="eastAsia" w:ascii="宋体" w:hAnsi="宋体" w:cs="宋体"/>
                <w:szCs w:val="21"/>
              </w:rPr>
              <w:t>资源、总则（包括现场观察）</w:t>
            </w:r>
          </w:p>
          <w:p>
            <w:pPr>
              <w:spacing w:line="280" w:lineRule="exact"/>
              <w:rPr>
                <w:rFonts w:hint="eastAsia" w:ascii="宋体" w:hAnsi="宋体" w:cs="宋体"/>
                <w:szCs w:val="21"/>
              </w:rPr>
            </w:pPr>
          </w:p>
        </w:tc>
        <w:tc>
          <w:tcPr>
            <w:tcW w:w="960" w:type="dxa"/>
            <w:vAlign w:val="top"/>
          </w:tcPr>
          <w:p>
            <w:pPr>
              <w:spacing w:line="280" w:lineRule="exact"/>
              <w:rPr>
                <w:szCs w:val="21"/>
              </w:rPr>
            </w:pPr>
            <w:r>
              <w:rPr>
                <w:rFonts w:hint="eastAsia"/>
                <w:szCs w:val="21"/>
              </w:rPr>
              <w:t>E</w:t>
            </w:r>
            <w:r>
              <w:rPr>
                <w:szCs w:val="21"/>
              </w:rPr>
              <w:t xml:space="preserve">/O </w:t>
            </w:r>
            <w:r>
              <w:rPr>
                <w:rFonts w:hint="eastAsia"/>
                <w:szCs w:val="21"/>
              </w:rPr>
              <w:t>7.1</w:t>
            </w:r>
          </w:p>
          <w:p>
            <w:pPr>
              <w:spacing w:line="280" w:lineRule="exact"/>
              <w:rPr>
                <w:rFonts w:ascii="宋体" w:cs="宋体"/>
                <w:szCs w:val="21"/>
              </w:rPr>
            </w:pPr>
          </w:p>
        </w:tc>
        <w:tc>
          <w:tcPr>
            <w:tcW w:w="10830" w:type="dxa"/>
            <w:vAlign w:val="center"/>
          </w:tcPr>
          <w:p>
            <w:pPr>
              <w:rPr>
                <w:rFonts w:hint="eastAsia" w:ascii="宋体" w:hAnsi="宋体" w:cs="宋体"/>
                <w:szCs w:val="21"/>
              </w:rPr>
            </w:pPr>
            <w:r>
              <w:rPr>
                <w:rFonts w:hint="eastAsia" w:ascii="宋体" w:hAnsi="宋体" w:cs="宋体"/>
                <w:szCs w:val="21"/>
              </w:rPr>
              <w:t>查公司配备了必要的销售员、</w:t>
            </w:r>
            <w:r>
              <w:rPr>
                <w:rFonts w:hint="eastAsia" w:ascii="宋体" w:hAnsi="宋体" w:cs="宋体"/>
                <w:szCs w:val="21"/>
                <w:lang w:val="en-US" w:eastAsia="zh-CN"/>
              </w:rPr>
              <w:t>生产员工、安装人员、</w:t>
            </w:r>
            <w:r>
              <w:rPr>
                <w:rFonts w:hint="eastAsia" w:ascii="宋体" w:hAnsi="宋体" w:cs="宋体"/>
                <w:szCs w:val="21"/>
              </w:rPr>
              <w:t>采购员等人力资源，配备基础设施，规范文件、资金等必要的资源，如电脑、打印机、座机电话、办公桌椅若干等，</w:t>
            </w:r>
            <w:r>
              <w:rPr>
                <w:rFonts w:hint="eastAsia"/>
              </w:rPr>
              <w:t>现场观察办公区域环境卫生管理，工作场所布局合理，温湿度适宜，照明良好，满足办公需求。</w:t>
            </w:r>
            <w:r>
              <w:rPr>
                <w:rFonts w:hint="eastAsia" w:ascii="宋体" w:hAnsi="宋体" w:cs="宋体"/>
                <w:szCs w:val="21"/>
              </w:rPr>
              <w:t>提供建立、实施、保持和持续改进环境、职业健康安全管理体系所需的必要资源。</w:t>
            </w:r>
          </w:p>
        </w:tc>
        <w:tc>
          <w:tcPr>
            <w:tcW w:w="759"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80" w:lineRule="exact"/>
              <w:rPr>
                <w:rFonts w:hint="eastAsia" w:ascii="宋体" w:hAnsi="宋体" w:cs="宋体"/>
                <w:szCs w:val="21"/>
              </w:rPr>
            </w:pPr>
            <w:r>
              <w:rPr>
                <w:rFonts w:hint="eastAsia" w:ascii="宋体" w:hAnsi="宋体" w:cs="宋体"/>
                <w:szCs w:val="21"/>
              </w:rPr>
              <w:t>监视、测量、分析和评价绩效</w:t>
            </w:r>
          </w:p>
        </w:tc>
        <w:tc>
          <w:tcPr>
            <w:tcW w:w="960" w:type="dxa"/>
            <w:vAlign w:val="top"/>
          </w:tcPr>
          <w:p>
            <w:pPr>
              <w:spacing w:line="280" w:lineRule="exact"/>
              <w:rPr>
                <w:rFonts w:ascii="宋体" w:cs="宋体"/>
                <w:szCs w:val="21"/>
              </w:rPr>
            </w:pPr>
            <w:r>
              <w:rPr>
                <w:szCs w:val="21"/>
              </w:rPr>
              <w:t>E/O 9.1.1</w:t>
            </w:r>
          </w:p>
        </w:tc>
        <w:tc>
          <w:tcPr>
            <w:tcW w:w="10830" w:type="dxa"/>
            <w:vAlign w:val="center"/>
          </w:tcPr>
          <w:p>
            <w:pPr>
              <w:spacing w:line="280" w:lineRule="exact"/>
              <w:rPr>
                <w:rFonts w:ascii="宋体" w:hAnsi="宋体" w:cs="宋体"/>
                <w:szCs w:val="21"/>
              </w:rPr>
            </w:pPr>
            <w:r>
              <w:rPr>
                <w:rFonts w:hint="eastAsia" w:ascii="宋体" w:hAnsi="宋体" w:cs="宋体"/>
                <w:szCs w:val="21"/>
              </w:rPr>
              <w:t>根据环境/职业健康安全管理体系运行要求，综合部组织各职能部门策划并实施以下内容的监视、测量、分析和评价：</w:t>
            </w:r>
          </w:p>
          <w:p>
            <w:pPr>
              <w:spacing w:line="280" w:lineRule="exact"/>
              <w:rPr>
                <w:rFonts w:ascii="宋体" w:hAnsi="宋体" w:cs="宋体"/>
                <w:szCs w:val="21"/>
              </w:rPr>
            </w:pPr>
            <w:r>
              <w:rPr>
                <w:rFonts w:hint="eastAsia" w:ascii="宋体" w:hAnsi="宋体" w:cs="宋体"/>
                <w:szCs w:val="21"/>
              </w:rPr>
              <w:t>1）通过顾客满意度调查、过程的监控、产品的检验等活动，证实产品的符合性；</w:t>
            </w:r>
          </w:p>
          <w:p>
            <w:pPr>
              <w:spacing w:line="280" w:lineRule="exact"/>
              <w:rPr>
                <w:rFonts w:ascii="宋体" w:hAnsi="宋体" w:cs="宋体"/>
                <w:szCs w:val="21"/>
              </w:rPr>
            </w:pPr>
            <w:r>
              <w:rPr>
                <w:rFonts w:hint="eastAsia" w:ascii="宋体" w:hAnsi="宋体" w:cs="宋体"/>
                <w:szCs w:val="21"/>
              </w:rPr>
              <w:t>2）对部门的环境/职业健康安全目标进行监视、测量，通过统计分析了解公司质量/环境/职业健康安全目标的完成情况，评价质量/环境/职业健康安全管理体系的绩效；</w:t>
            </w:r>
          </w:p>
          <w:p>
            <w:pPr>
              <w:spacing w:line="280" w:lineRule="exact"/>
              <w:rPr>
                <w:rFonts w:ascii="宋体" w:hAnsi="宋体" w:cs="宋体"/>
                <w:szCs w:val="21"/>
              </w:rPr>
            </w:pPr>
            <w:r>
              <w:rPr>
                <w:rFonts w:hint="eastAsia" w:ascii="宋体" w:hAnsi="宋体" w:cs="宋体"/>
                <w:szCs w:val="21"/>
              </w:rPr>
              <w:t>3）通过公司的内部审核和管理评审活动，分析得出公司质量/环境/职业健康安全体系的适宜性、充分性及有效性；</w:t>
            </w:r>
          </w:p>
          <w:p>
            <w:pPr>
              <w:spacing w:line="280" w:lineRule="exact"/>
              <w:rPr>
                <w:rFonts w:hint="eastAsia" w:ascii="宋体" w:hAnsi="宋体" w:cs="宋体"/>
                <w:szCs w:val="21"/>
              </w:rPr>
            </w:pPr>
            <w:r>
              <w:rPr>
                <w:rFonts w:hint="eastAsia" w:ascii="宋体" w:hAnsi="宋体" w:cs="宋体"/>
                <w:szCs w:val="21"/>
              </w:rPr>
              <w:t>4）对不符合的纠正及改进措施的实施结果进行分析评价，以确定体系持续改进的有效性</w:t>
            </w:r>
          </w:p>
        </w:tc>
        <w:tc>
          <w:tcPr>
            <w:tcW w:w="759"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160" w:type="dxa"/>
            <w:vAlign w:val="top"/>
          </w:tcPr>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管理评审</w:t>
            </w:r>
          </w:p>
          <w:p>
            <w:pPr>
              <w:spacing w:line="240" w:lineRule="auto"/>
              <w:rPr>
                <w:rFonts w:hint="eastAsia" w:asciiTheme="minorEastAsia" w:hAnsiTheme="minorEastAsia" w:eastAsiaTheme="minorEastAsia" w:cstheme="minorEastAsia"/>
                <w:color w:val="auto"/>
                <w:sz w:val="21"/>
                <w:szCs w:val="21"/>
              </w:rPr>
            </w:pPr>
          </w:p>
        </w:tc>
        <w:tc>
          <w:tcPr>
            <w:tcW w:w="960" w:type="dxa"/>
            <w:vAlign w:val="top"/>
          </w:tcPr>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E/O 9.3</w:t>
            </w:r>
          </w:p>
          <w:p>
            <w:pPr>
              <w:spacing w:line="240" w:lineRule="auto"/>
              <w:rPr>
                <w:rFonts w:hint="eastAsia" w:asciiTheme="minorEastAsia" w:hAnsiTheme="minorEastAsia" w:eastAsiaTheme="minorEastAsia" w:cstheme="minorEastAsia"/>
                <w:color w:val="auto"/>
                <w:sz w:val="21"/>
                <w:szCs w:val="21"/>
              </w:rPr>
            </w:pPr>
          </w:p>
          <w:p>
            <w:pPr>
              <w:spacing w:line="240" w:lineRule="auto"/>
              <w:rPr>
                <w:rFonts w:hint="eastAsia" w:asciiTheme="minorEastAsia" w:hAnsiTheme="minorEastAsia" w:eastAsiaTheme="minorEastAsia" w:cstheme="minorEastAsia"/>
                <w:color w:val="auto"/>
                <w:sz w:val="21"/>
                <w:szCs w:val="21"/>
              </w:rPr>
            </w:pPr>
          </w:p>
        </w:tc>
        <w:tc>
          <w:tcPr>
            <w:tcW w:w="10830" w:type="dxa"/>
            <w:vAlign w:val="center"/>
          </w:tcPr>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公司编制并实施JXBL-CX20-2020管理评审控制程序，规定管理评审每年进行一次，由总经理决定是否增加管理评审的频次。</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查策划：在《管理评审程序》中明确了管理评审的实施要求。策划每年进行一次管理评审，间隔不超过12个月。</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查阅公司管理评审资料，提供：</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1.查到管理评审计划：</w:t>
            </w:r>
            <w:r>
              <w:rPr>
                <w:rFonts w:hint="eastAsia" w:asciiTheme="minorEastAsia" w:hAnsiTheme="minorEastAsia" w:eastAsiaTheme="minorEastAsia" w:cstheme="minorEastAsia"/>
                <w:color w:val="auto"/>
                <w:sz w:val="21"/>
                <w:szCs w:val="21"/>
                <w:lang w:eastAsia="zh-CN"/>
              </w:rPr>
              <w:t>行政部</w:t>
            </w:r>
            <w:r>
              <w:rPr>
                <w:rFonts w:hint="eastAsia" w:asciiTheme="minorEastAsia" w:hAnsiTheme="minorEastAsia" w:eastAsiaTheme="minorEastAsia" w:cstheme="minorEastAsia"/>
                <w:color w:val="auto"/>
                <w:sz w:val="21"/>
                <w:szCs w:val="21"/>
              </w:rPr>
              <w:t>计划于20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日上午8时30分在公司召开管理评审会议。初审无间隔要求，，计划中明确了评审内容和资料准备要求。</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2.管理评审会议记录</w:t>
            </w:r>
          </w:p>
          <w:p>
            <w:pPr>
              <w:spacing w:line="24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按计划的时间实施了管理评审。</w:t>
            </w:r>
            <w:r>
              <w:rPr>
                <w:rFonts w:hint="eastAsia" w:asciiTheme="minorEastAsia" w:hAnsiTheme="minorEastAsia" w:eastAsiaTheme="minorEastAsia" w:cstheme="minorEastAsia"/>
                <w:color w:val="auto"/>
                <w:sz w:val="21"/>
                <w:szCs w:val="21"/>
                <w:lang w:val="en-US" w:eastAsia="zh-CN"/>
              </w:rPr>
              <w:t>见</w:t>
            </w:r>
            <w:r>
              <w:rPr>
                <w:rFonts w:hint="eastAsia" w:asciiTheme="minorEastAsia" w:hAnsiTheme="minorEastAsia" w:eastAsiaTheme="minorEastAsia" w:cstheme="minorEastAsia"/>
                <w:color w:val="auto"/>
                <w:sz w:val="21"/>
                <w:szCs w:val="21"/>
              </w:rPr>
              <w:t>参加人员签到</w:t>
            </w:r>
            <w:r>
              <w:rPr>
                <w:rFonts w:hint="eastAsia" w:asciiTheme="minorEastAsia" w:hAnsiTheme="minorEastAsia" w:eastAsiaTheme="minorEastAsia" w:cstheme="minorEastAsia"/>
                <w:color w:val="auto"/>
                <w:sz w:val="21"/>
                <w:szCs w:val="21"/>
                <w:lang w:val="en-US" w:eastAsia="zh-CN"/>
              </w:rPr>
              <w:t>表：</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人 员</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部 门</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石仕义</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总经理（管理者代表）</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柳秋云</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行政部主任（安全事务代表）</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石仕杰</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生产部经理</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石天</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 xml:space="preserve">销售部经理 </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石仕江</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技术部经理</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宋体" w:hAnsi="宋体"/>
                <w:color w:val="auto"/>
                <w:szCs w:val="22"/>
                <w:lang w:eastAsia="zh-CN"/>
              </w:rPr>
              <w:t>吴修</w:t>
            </w:r>
            <w:r>
              <w:rPr>
                <w:rFonts w:hint="eastAsia" w:ascii="宋体" w:hAnsi="宋体"/>
                <w:color w:val="auto"/>
                <w:szCs w:val="22"/>
                <w:lang w:val="en-US" w:eastAsia="zh-CN"/>
              </w:rPr>
              <w:t>文</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财务部经理</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刘德海</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采购部经理</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刘意晴</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品质部经理</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理评审内容包括：管理方针、目标的适宜行和实现情况；管理体系的符合性；内审结果；内外部环境分析及风险应对措施的落实情况；纠正预防措施及持续改进能力；重要环境因素控制及效果；合规性评价；可能影响管理体系的变更，改进建议；职业健康安全方针和职业健康安全目标的实现程度；职业健康安全绩效方面的信息等；确认评审输入及输出满足标准要求。</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3.管理评审报告</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管理评审结论：自体系建立以来，公司的环境管理体系运行全面展开，通过新版的运行，收到良好的效果，经评审认为本公司的环境管理体系的建立和运行是充分的、适宜的、有效的。已具备了认证审核的条件。</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4.改进计划</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组织相关部门人员学习环境法律法规，提高环境保护意识。</w:t>
            </w:r>
          </w:p>
          <w:p>
            <w:pPr>
              <w:spacing w:line="240" w:lineRule="auto"/>
              <w:ind w:firstLine="42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1）进一步组织对ISO 9001：2015、ISO 14001：2015、</w:t>
            </w:r>
            <w:r>
              <w:rPr>
                <w:rFonts w:hint="eastAsia" w:asciiTheme="minorEastAsia" w:hAnsiTheme="minorEastAsia" w:eastAsiaTheme="minorEastAsia" w:cstheme="minorEastAsia"/>
                <w:color w:val="auto"/>
                <w:sz w:val="21"/>
                <w:szCs w:val="21"/>
                <w:lang w:eastAsia="zh-CN"/>
              </w:rPr>
              <w:t>ISO45001：2018</w:t>
            </w:r>
            <w:r>
              <w:rPr>
                <w:rFonts w:hint="eastAsia" w:asciiTheme="minorEastAsia" w:hAnsiTheme="minorEastAsia" w:eastAsiaTheme="minorEastAsia" w:cstheme="minorEastAsia"/>
                <w:color w:val="auto"/>
                <w:sz w:val="21"/>
                <w:szCs w:val="21"/>
                <w:lang w:val="en-US" w:eastAsia="zh-CN"/>
              </w:rPr>
              <w:t>s</w:t>
            </w:r>
            <w:r>
              <w:rPr>
                <w:rFonts w:hint="eastAsia" w:asciiTheme="minorEastAsia" w:hAnsiTheme="minorEastAsia" w:eastAsiaTheme="minorEastAsia" w:cstheme="minorEastAsia"/>
                <w:color w:val="auto"/>
                <w:sz w:val="21"/>
                <w:szCs w:val="21"/>
              </w:rPr>
              <w:t>标准、《管理手册》、《程序文件》的学习和培训，使与管理体系有关的人员了解和掌握标准和本公司管理体系文件的内容，特别是应该提高内审员的水平和技巧；</w:t>
            </w:r>
          </w:p>
          <w:p>
            <w:pPr>
              <w:spacing w:line="240" w:lineRule="auto"/>
              <w:ind w:firstLine="42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2）进一步组织对相关的法律、法规、规程和规范的学习，以增强广大技术人员的质量意识环境保护意识；</w:t>
            </w:r>
          </w:p>
          <w:p>
            <w:pPr>
              <w:spacing w:line="240" w:lineRule="auto"/>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3）节能降耗，减少生产车间和办公区域资源能源和办公器材消耗量，减排增效，确保环境卫生。</w:t>
            </w:r>
          </w:p>
        </w:tc>
        <w:tc>
          <w:tcPr>
            <w:tcW w:w="759" w:type="dxa"/>
          </w:tcPr>
          <w:p>
            <w:pP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ascii="宋体" w:hAnsi="宋体" w:cs="宋体"/>
                <w:szCs w:val="21"/>
              </w:rPr>
            </w:pPr>
            <w:r>
              <w:rPr>
                <w:rFonts w:hint="eastAsia" w:ascii="宋体" w:hAnsi="宋体" w:cs="宋体"/>
                <w:szCs w:val="21"/>
              </w:rPr>
              <w:t>总则</w:t>
            </w:r>
          </w:p>
          <w:p>
            <w:pPr>
              <w:spacing w:line="280" w:lineRule="exact"/>
              <w:rPr>
                <w:rFonts w:hint="eastAsia" w:ascii="宋体" w:hAnsi="宋体" w:cs="宋体"/>
                <w:szCs w:val="21"/>
              </w:rPr>
            </w:pPr>
          </w:p>
        </w:tc>
        <w:tc>
          <w:tcPr>
            <w:tcW w:w="960" w:type="dxa"/>
            <w:vAlign w:val="top"/>
          </w:tcPr>
          <w:p>
            <w:pPr>
              <w:spacing w:line="280" w:lineRule="exact"/>
              <w:rPr>
                <w:szCs w:val="21"/>
              </w:rPr>
            </w:pPr>
            <w:r>
              <w:rPr>
                <w:rFonts w:hint="eastAsia"/>
                <w:szCs w:val="21"/>
              </w:rPr>
              <w:t>E</w:t>
            </w:r>
            <w:r>
              <w:rPr>
                <w:szCs w:val="21"/>
              </w:rPr>
              <w:t>/O</w:t>
            </w:r>
            <w:r>
              <w:rPr>
                <w:rFonts w:hint="eastAsia"/>
                <w:szCs w:val="21"/>
              </w:rPr>
              <w:t xml:space="preserve"> 10.1</w:t>
            </w:r>
          </w:p>
          <w:p>
            <w:pPr>
              <w:spacing w:line="280" w:lineRule="exact"/>
              <w:rPr>
                <w:rFonts w:ascii="宋体" w:cs="宋体"/>
                <w:color w:val="FF0000"/>
                <w:szCs w:val="21"/>
              </w:rPr>
            </w:pPr>
          </w:p>
        </w:tc>
        <w:tc>
          <w:tcPr>
            <w:tcW w:w="10830" w:type="dxa"/>
            <w:vAlign w:val="center"/>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hint="eastAsia"/>
                <w:color w:val="FF0000"/>
              </w:rPr>
            </w:pPr>
            <w:r>
              <w:rPr>
                <w:rFonts w:hint="eastAsia" w:ascii="宋体" w:hAnsi="宋体" w:cs="宋体"/>
                <w:szCs w:val="21"/>
              </w:rPr>
              <w:t xml:space="preserve"> ——具体事实见10.2、10.3条款记录。</w:t>
            </w:r>
          </w:p>
        </w:tc>
        <w:tc>
          <w:tcPr>
            <w:tcW w:w="759"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160" w:type="dxa"/>
            <w:vAlign w:val="top"/>
          </w:tcPr>
          <w:p>
            <w:pPr>
              <w:spacing w:line="280" w:lineRule="exact"/>
              <w:rPr>
                <w:rFonts w:hint="eastAsia" w:ascii="宋体" w:hAnsi="宋体" w:cs="宋体"/>
                <w:szCs w:val="21"/>
              </w:rPr>
            </w:pPr>
            <w:r>
              <w:rPr>
                <w:rFonts w:hint="eastAsia" w:asciiTheme="minorEastAsia" w:hAnsiTheme="minorEastAsia" w:eastAsiaTheme="minorEastAsia" w:cstheme="minorEastAsia"/>
                <w:szCs w:val="21"/>
              </w:rPr>
              <w:t>持续改进</w:t>
            </w:r>
          </w:p>
        </w:tc>
        <w:tc>
          <w:tcPr>
            <w:tcW w:w="960" w:type="dxa"/>
            <w:vAlign w:val="top"/>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asciiTheme="minorEastAsia" w:hAnsiTheme="minorEastAsia" w:eastAsiaTheme="minorEastAsia" w:cstheme="minorEastAsia"/>
                <w:szCs w:val="21"/>
              </w:rPr>
              <w:t>/O</w:t>
            </w:r>
            <w:r>
              <w:rPr>
                <w:rFonts w:hint="eastAsia" w:asciiTheme="minorEastAsia" w:hAnsiTheme="minorEastAsia" w:eastAsiaTheme="minorEastAsia" w:cstheme="minorEastAsia"/>
                <w:szCs w:val="21"/>
              </w:rPr>
              <w:t xml:space="preserve"> 10.3</w:t>
            </w:r>
          </w:p>
          <w:p>
            <w:pPr>
              <w:spacing w:line="280" w:lineRule="exact"/>
              <w:rPr>
                <w:rFonts w:ascii="宋体" w:cs="宋体"/>
                <w:color w:val="FF0000"/>
                <w:szCs w:val="21"/>
              </w:rPr>
            </w:pPr>
          </w:p>
        </w:tc>
        <w:tc>
          <w:tcPr>
            <w:tcW w:w="10830" w:type="dxa"/>
            <w:vAlign w:val="center"/>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公司组织确定并选择改进机会，根据不同过程、不同产品和不同要求，采取不同的方法进行监视、测量和分析。</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改进的示例可以包括纠正、纠正措施、持续改进。</w:t>
            </w:r>
          </w:p>
          <w:p>
            <w:pPr>
              <w:spacing w:line="280" w:lineRule="exact"/>
              <w:ind w:firstLine="420" w:firstLineChars="200"/>
              <w:rPr>
                <w:rFonts w:hint="eastAsia"/>
                <w:color w:val="FF0000"/>
              </w:rPr>
            </w:pPr>
            <w:r>
              <w:rPr>
                <w:rFonts w:hint="eastAsia" w:asciiTheme="minorEastAsia" w:hAnsiTheme="minorEastAsia" w:eastAsiaTheme="minorEastAsia" w:cstheme="minorEastAsia"/>
                <w:szCs w:val="21"/>
              </w:rPr>
              <w:t>公司利用管理方针、目标、内审和外审、数据分析、纠正和预防措施以及管理评审，识别任何改进的机会，持续改进管理体系的适宜性、充分性和有效性，提高环境的效益。</w:t>
            </w:r>
          </w:p>
        </w:tc>
        <w:tc>
          <w:tcPr>
            <w:tcW w:w="759"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8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国家/地方监督抽查情况；顾客满意、相关方投诉及处理情况；</w:t>
            </w:r>
          </w:p>
          <w:p>
            <w:pPr>
              <w:spacing w:line="28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szCs w:val="21"/>
              </w:rPr>
              <w:t>近两年公司里管理服务环境和安全等是否有违规被处罚、曝光情况；</w:t>
            </w:r>
          </w:p>
          <w:p>
            <w:pPr>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 w:val="21"/>
                <w:szCs w:val="21"/>
              </w:rPr>
              <w:t>验证企业相关资质证明的有效性，一阶段问题验证；</w:t>
            </w:r>
          </w:p>
        </w:tc>
        <w:tc>
          <w:tcPr>
            <w:tcW w:w="960" w:type="dxa"/>
            <w:vAlign w:val="top"/>
          </w:tcPr>
          <w:p>
            <w:pPr>
              <w:spacing w:line="280" w:lineRule="exact"/>
              <w:rPr>
                <w:rFonts w:hint="eastAsia" w:asciiTheme="minorEastAsia" w:hAnsiTheme="minorEastAsia" w:eastAsiaTheme="minorEastAsia" w:cstheme="minorEastAsia"/>
                <w:color w:val="auto"/>
                <w:szCs w:val="21"/>
              </w:rPr>
            </w:pPr>
          </w:p>
        </w:tc>
        <w:tc>
          <w:tcPr>
            <w:tcW w:w="10830" w:type="dxa"/>
            <w:vAlign w:val="center"/>
          </w:tcPr>
          <w:p>
            <w:pPr>
              <w:spacing w:line="280" w:lineRule="exac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国家/地方监督抽查情况</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无</w:t>
            </w:r>
          </w:p>
          <w:p>
            <w:pPr>
              <w:pStyle w:val="2"/>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顾客满意、相关方投诉及处理情况</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无</w:t>
            </w:r>
          </w:p>
          <w:p>
            <w:pPr>
              <w:pStyle w:val="2"/>
              <w:rPr>
                <w:rFonts w:hint="eastAsia" w:asciiTheme="minorEastAsia" w:hAnsiTheme="minorEastAsia" w:eastAsiaTheme="minorEastAsia" w:cstheme="minorEastAsia"/>
                <w:color w:val="auto"/>
                <w:kern w:val="0"/>
                <w:sz w:val="21"/>
                <w:szCs w:val="21"/>
                <w:lang w:val="en-US" w:eastAsia="zh-CN"/>
              </w:rPr>
            </w:pPr>
          </w:p>
          <w:p>
            <w:pPr>
              <w:spacing w:line="280" w:lineRule="exac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Cs/>
                <w:color w:val="auto"/>
                <w:szCs w:val="21"/>
              </w:rPr>
              <w:t>近两年公司里管理服务环境和安全等是否有违规被处罚、曝光情况</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color w:val="auto"/>
                <w:szCs w:val="21"/>
              </w:rPr>
              <w:t>经查，</w:t>
            </w:r>
            <w:r>
              <w:rPr>
                <w:rFonts w:hint="eastAsia" w:asciiTheme="minorEastAsia" w:hAnsiTheme="minorEastAsia" w:eastAsiaTheme="minorEastAsia" w:cstheme="minorEastAsia"/>
                <w:color w:val="auto"/>
                <w:szCs w:val="21"/>
                <w:lang w:val="zh-CN"/>
              </w:rPr>
              <w:t>近两年没有发生环境和安全等被处罚、曝光</w:t>
            </w:r>
            <w:r>
              <w:rPr>
                <w:rFonts w:hint="eastAsia" w:asciiTheme="minorEastAsia" w:hAnsiTheme="minorEastAsia" w:eastAsiaTheme="minorEastAsia" w:cstheme="minorEastAsia"/>
                <w:color w:val="auto"/>
                <w:szCs w:val="21"/>
              </w:rPr>
              <w:t>的</w:t>
            </w:r>
            <w:r>
              <w:rPr>
                <w:rFonts w:hint="eastAsia" w:asciiTheme="minorEastAsia" w:hAnsiTheme="minorEastAsia" w:eastAsiaTheme="minorEastAsia" w:cstheme="minorEastAsia"/>
                <w:color w:val="auto"/>
                <w:szCs w:val="21"/>
                <w:lang w:val="zh-CN"/>
              </w:rPr>
              <w:t>情况。</w:t>
            </w:r>
          </w:p>
          <w:p>
            <w:pPr>
              <w:pStyle w:val="2"/>
              <w:rPr>
                <w:rFonts w:hint="eastAsia" w:asciiTheme="minorEastAsia" w:hAnsiTheme="minorEastAsia" w:eastAsiaTheme="minorEastAsia" w:cstheme="minorEastAsia"/>
                <w:color w:val="auto"/>
                <w:kern w:val="0"/>
                <w:sz w:val="21"/>
                <w:szCs w:val="21"/>
                <w:lang w:val="en-US" w:eastAsia="zh-CN"/>
              </w:rPr>
            </w:pPr>
          </w:p>
          <w:p>
            <w:pPr>
              <w:pStyle w:val="2"/>
              <w:rPr>
                <w:rFonts w:hint="eastAsia" w:asciiTheme="minorEastAsia" w:hAnsiTheme="minorEastAsia" w:eastAsiaTheme="minorEastAsia" w:cstheme="minorEastAsia"/>
                <w:color w:val="auto"/>
                <w:kern w:val="0"/>
                <w:sz w:val="21"/>
                <w:szCs w:val="21"/>
                <w:lang w:val="en-US" w:eastAsia="zh-CN"/>
              </w:rPr>
            </w:pPr>
          </w:p>
          <w:p>
            <w:pPr>
              <w:pStyle w:val="2"/>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验证企业相关资质证明的有效性</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查看企业营业执照、其它相关证书，在有效期内，认证范围在资质范围内；</w:t>
            </w:r>
          </w:p>
          <w:p>
            <w:pPr>
              <w:pStyle w:val="2"/>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一阶段问题验证</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已经整改完成，见一阶段审核报告。</w:t>
            </w:r>
          </w:p>
        </w:tc>
        <w:tc>
          <w:tcPr>
            <w:tcW w:w="759"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bl>
    <w:p>
      <w:pPr>
        <w:pStyle w:val="6"/>
        <w:rPr>
          <w:rFonts w:hint="eastAsia"/>
        </w:rPr>
      </w:pPr>
    </w:p>
    <w:p>
      <w:pPr>
        <w:pStyle w:val="6"/>
        <w:rPr>
          <w:rFonts w:hint="eastAsia"/>
        </w:rPr>
      </w:pPr>
    </w:p>
    <w:p>
      <w:pPr>
        <w:pStyle w:val="6"/>
        <w:rPr>
          <w:rFonts w:hint="eastAsia"/>
        </w:rPr>
      </w:pPr>
    </w:p>
    <w:p>
      <w:pPr>
        <w:spacing w:line="480" w:lineRule="exact"/>
        <w:jc w:val="center"/>
        <w:rPr>
          <w:rFonts w:hint="eastAsia"/>
        </w:rPr>
      </w:pPr>
      <w:r>
        <w:rPr>
          <w:rFonts w:hint="eastAsia" w:asciiTheme="minorEastAsia" w:hAnsiTheme="minorEastAsia" w:eastAsiaTheme="minorEastAsia" w:cstheme="minorEastAsia"/>
          <w:bCs/>
          <w:color w:val="000000"/>
          <w:sz w:val="36"/>
          <w:szCs w:val="36"/>
        </w:rPr>
        <w:t>管理体系审核记录表</w:t>
      </w:r>
      <w:r>
        <w:rPr>
          <w:rFonts w:hint="eastAsia" w:asciiTheme="minorEastAsia" w:hAnsiTheme="minorEastAsia" w:eastAsiaTheme="minorEastAsia" w:cstheme="minorEastAsia"/>
          <w:bCs/>
          <w:color w:val="000000"/>
          <w:sz w:val="36"/>
          <w:szCs w:val="36"/>
          <w:lang w:val="en-US" w:eastAsia="zh-CN"/>
        </w:rPr>
        <w:t>4</w:t>
      </w:r>
    </w:p>
    <w:p>
      <w:pPr>
        <w:pStyle w:val="6"/>
        <w:rPr>
          <w:rFonts w:hint="eastAsia"/>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45"/>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960"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845" w:type="dxa"/>
            <w:vAlign w:val="center"/>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受审核部门： 财务部</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主管领导：</w:t>
            </w:r>
            <w:r>
              <w:rPr>
                <w:rFonts w:hint="eastAsia" w:ascii="宋体" w:hAnsi="宋体"/>
                <w:color w:val="auto"/>
                <w:szCs w:val="22"/>
                <w:lang w:eastAsia="zh-CN"/>
              </w:rPr>
              <w:t>吴修</w:t>
            </w:r>
            <w:r>
              <w:rPr>
                <w:rFonts w:hint="eastAsia" w:ascii="宋体" w:hAnsi="宋体"/>
                <w:color w:val="auto"/>
                <w:szCs w:val="22"/>
                <w:lang w:val="en-US" w:eastAsia="zh-CN"/>
              </w:rPr>
              <w:t>文</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陪同人员：</w:t>
            </w:r>
            <w:r>
              <w:rPr>
                <w:rFonts w:hint="eastAsia" w:asciiTheme="minorEastAsia" w:hAnsiTheme="minorEastAsia" w:eastAsiaTheme="minorEastAsia" w:cstheme="minorEastAsia"/>
                <w:color w:val="auto"/>
                <w:sz w:val="21"/>
                <w:szCs w:val="21"/>
                <w:lang w:val="en-US" w:eastAsia="zh-CN"/>
              </w:rPr>
              <w:t xml:space="preserve">柳秋华 </w:t>
            </w:r>
          </w:p>
        </w:tc>
        <w:tc>
          <w:tcPr>
            <w:tcW w:w="744"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845" w:type="dxa"/>
            <w:vAlign w:val="center"/>
          </w:tcPr>
          <w:p>
            <w:pPr>
              <w:spacing w:before="1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王志慧</w:t>
            </w:r>
            <w:r>
              <w:rPr>
                <w:rFonts w:hint="eastAsia" w:asciiTheme="minorEastAsia" w:hAnsiTheme="minorEastAsia" w:eastAsiaTheme="minorEastAsia" w:cstheme="minorEastAsia"/>
                <w:color w:val="auto"/>
                <w:sz w:val="21"/>
                <w:szCs w:val="21"/>
              </w:rPr>
              <w:t xml:space="preserve">           审核时间：</w:t>
            </w:r>
            <w:r>
              <w:rPr>
                <w:rFonts w:hint="eastAsia" w:asciiTheme="minorEastAsia" w:hAnsiTheme="minorEastAsia" w:eastAsiaTheme="minorEastAsia" w:cstheme="minorEastAsia"/>
                <w:color w:val="auto"/>
                <w:sz w:val="21"/>
                <w:szCs w:val="21"/>
                <w:lang w:val="en-US" w:eastAsia="zh-CN"/>
              </w:rPr>
              <w:t>2020年9月28日</w:t>
            </w:r>
          </w:p>
        </w:tc>
        <w:tc>
          <w:tcPr>
            <w:tcW w:w="744"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84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p>
          <w:p>
            <w:pPr>
              <w:adjustRightInd w:val="0"/>
              <w:snapToGrid w:val="0"/>
              <w:spacing w:line="320" w:lineRule="exact"/>
              <w:ind w:right="105" w:rightChars="5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QMS:5.3组织的岗位、职责和权限、6.2质量目标、</w:t>
            </w:r>
          </w:p>
          <w:p>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EMS/ OHSMS: 5.3组织的岗位、职责和权限、6.2环境/职业健康安全目标、6.1.2环境因素/危险源辨识与评价、8.1运行策划和控制、8.2应急准备和响应</w:t>
            </w:r>
          </w:p>
        </w:tc>
        <w:tc>
          <w:tcPr>
            <w:tcW w:w="744"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组织的岗位、职责权限</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QEO5.3</w:t>
            </w:r>
          </w:p>
        </w:tc>
        <w:tc>
          <w:tcPr>
            <w:tcW w:w="1084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主管领导：</w:t>
            </w:r>
            <w:r>
              <w:rPr>
                <w:rFonts w:hint="eastAsia" w:ascii="宋体" w:hAnsi="宋体"/>
                <w:color w:val="auto"/>
                <w:szCs w:val="22"/>
                <w:lang w:eastAsia="zh-CN"/>
              </w:rPr>
              <w:t>吴修</w:t>
            </w:r>
            <w:r>
              <w:rPr>
                <w:rFonts w:hint="eastAsia" w:ascii="宋体" w:hAnsi="宋体"/>
                <w:color w:val="auto"/>
                <w:szCs w:val="22"/>
                <w:lang w:val="en-US" w:eastAsia="zh-CN"/>
              </w:rPr>
              <w:t>文</w:t>
            </w:r>
            <w:r>
              <w:rPr>
                <w:rFonts w:hint="eastAsia" w:asciiTheme="minorEastAsia" w:hAnsiTheme="minorEastAsia" w:eastAsiaTheme="minorEastAsia" w:cstheme="minorEastAsia"/>
                <w:color w:val="auto"/>
                <w:sz w:val="21"/>
                <w:szCs w:val="21"/>
                <w:lang w:val="en-US" w:eastAsia="zh-CN"/>
              </w:rPr>
              <w:t>，该部门共2人，</w:t>
            </w:r>
            <w:r>
              <w:rPr>
                <w:rFonts w:hint="eastAsia" w:asciiTheme="minorEastAsia" w:hAnsiTheme="minorEastAsia" w:eastAsiaTheme="minorEastAsia" w:cstheme="minorEastAsia"/>
                <w:color w:val="auto"/>
                <w:sz w:val="21"/>
                <w:szCs w:val="21"/>
              </w:rPr>
              <w:t>主要负责</w:t>
            </w:r>
            <w:r>
              <w:rPr>
                <w:rFonts w:hint="eastAsia" w:asciiTheme="minorEastAsia" w:hAnsiTheme="minorEastAsia" w:eastAsiaTheme="minorEastAsia" w:cstheme="minorEastAsia"/>
                <w:color w:val="auto"/>
                <w:sz w:val="21"/>
                <w:szCs w:val="21"/>
                <w:lang w:val="en-US" w:eastAsia="zh-CN"/>
              </w:rPr>
              <w:t>资金支持</w:t>
            </w:r>
            <w:r>
              <w:rPr>
                <w:rFonts w:hint="eastAsia" w:asciiTheme="minorEastAsia" w:hAnsiTheme="minorEastAsia" w:eastAsiaTheme="minorEastAsia" w:cstheme="minorEastAsia"/>
                <w:color w:val="auto"/>
                <w:sz w:val="21"/>
                <w:szCs w:val="21"/>
              </w:rPr>
              <w:t>及</w:t>
            </w:r>
            <w:r>
              <w:rPr>
                <w:rFonts w:hint="eastAsia" w:asciiTheme="minorEastAsia" w:hAnsiTheme="minorEastAsia" w:eastAsiaTheme="minorEastAsia" w:cstheme="minorEastAsia"/>
                <w:color w:val="auto"/>
                <w:sz w:val="21"/>
                <w:szCs w:val="21"/>
                <w:lang w:val="en-US" w:eastAsia="zh-CN"/>
              </w:rPr>
              <w:t>本部门涉及的</w:t>
            </w:r>
            <w:r>
              <w:rPr>
                <w:rFonts w:hint="eastAsia" w:asciiTheme="minorEastAsia" w:hAnsiTheme="minorEastAsia" w:eastAsiaTheme="minorEastAsia" w:cstheme="minorEastAsia"/>
                <w:color w:val="auto"/>
                <w:sz w:val="21"/>
                <w:szCs w:val="21"/>
              </w:rPr>
              <w:t>危险源</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环境因素</w:t>
            </w:r>
            <w:r>
              <w:rPr>
                <w:rFonts w:hint="eastAsia" w:asciiTheme="minorEastAsia" w:hAnsiTheme="minorEastAsia" w:eastAsiaTheme="minorEastAsia" w:cstheme="minorEastAsia"/>
                <w:color w:val="auto"/>
                <w:sz w:val="21"/>
                <w:szCs w:val="21"/>
              </w:rPr>
              <w:t>识别</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color w:val="auto"/>
                <w:sz w:val="21"/>
                <w:szCs w:val="21"/>
              </w:rPr>
              <w:t>控制。</w:t>
            </w:r>
            <w:r>
              <w:rPr>
                <w:rFonts w:hint="eastAsia" w:asciiTheme="minorEastAsia" w:hAnsiTheme="minorEastAsia" w:eastAsiaTheme="minorEastAsia" w:cstheme="minorEastAsia"/>
                <w:color w:val="auto"/>
                <w:sz w:val="21"/>
                <w:szCs w:val="21"/>
                <w:lang w:val="en-US" w:eastAsia="zh-CN"/>
              </w:rPr>
              <w:t>与该</w:t>
            </w:r>
            <w:r>
              <w:rPr>
                <w:rFonts w:hint="eastAsia" w:asciiTheme="minorEastAsia" w:hAnsiTheme="minorEastAsia" w:eastAsiaTheme="minorEastAsia" w:cstheme="minorEastAsia"/>
                <w:color w:val="auto"/>
                <w:sz w:val="21"/>
                <w:szCs w:val="21"/>
              </w:rPr>
              <w:t>部门经理</w:t>
            </w:r>
            <w:r>
              <w:rPr>
                <w:rFonts w:hint="eastAsia" w:ascii="宋体" w:hAnsi="宋体"/>
                <w:color w:val="auto"/>
                <w:szCs w:val="22"/>
                <w:lang w:eastAsia="zh-CN"/>
              </w:rPr>
              <w:t>吴修</w:t>
            </w:r>
            <w:r>
              <w:rPr>
                <w:rFonts w:hint="eastAsia" w:ascii="宋体" w:hAnsi="宋体"/>
                <w:color w:val="auto"/>
                <w:szCs w:val="22"/>
                <w:lang w:val="en-US" w:eastAsia="zh-CN"/>
              </w:rPr>
              <w:t>文</w:t>
            </w:r>
            <w:r>
              <w:rPr>
                <w:rFonts w:hint="eastAsia" w:asciiTheme="minorEastAsia" w:hAnsiTheme="minorEastAsia" w:eastAsiaTheme="minorEastAsia" w:cstheme="minorEastAsia"/>
                <w:color w:val="auto"/>
                <w:sz w:val="21"/>
                <w:szCs w:val="21"/>
                <w:lang w:val="en-US" w:eastAsia="zh-CN"/>
              </w:rPr>
              <w:t>和出纳交流，沟通流畅，</w:t>
            </w:r>
            <w:r>
              <w:rPr>
                <w:rFonts w:hint="eastAsia" w:asciiTheme="minorEastAsia" w:hAnsiTheme="minorEastAsia" w:eastAsiaTheme="minorEastAsia" w:cstheme="minorEastAsia"/>
                <w:color w:val="auto"/>
                <w:sz w:val="21"/>
                <w:szCs w:val="21"/>
              </w:rPr>
              <w:t>职责和权限清楚。</w:t>
            </w:r>
          </w:p>
        </w:tc>
        <w:tc>
          <w:tcPr>
            <w:tcW w:w="744"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QEO6.2</w:t>
            </w:r>
          </w:p>
        </w:tc>
        <w:tc>
          <w:tcPr>
            <w:tcW w:w="1084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目标：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火灾、爆炸事故为0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固体废弃物分类处置率100%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环保、安全资金提供及时率100%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提供了2020年</w:t>
            </w:r>
            <w:r>
              <w:rPr>
                <w:rFonts w:hint="eastAsia" w:asciiTheme="minorEastAsia" w:hAnsiTheme="minorEastAsia" w:eastAsiaTheme="minorEastAsia" w:cstheme="minorEastAsia"/>
                <w:sz w:val="21"/>
                <w:szCs w:val="21"/>
                <w:lang w:eastAsia="zh-CN"/>
              </w:rPr>
              <w:t>上半年</w:t>
            </w:r>
            <w:r>
              <w:rPr>
                <w:rFonts w:hint="eastAsia" w:asciiTheme="minorEastAsia" w:hAnsiTheme="minorEastAsia" w:eastAsiaTheme="minorEastAsia" w:cstheme="minorEastAsia"/>
                <w:sz w:val="21"/>
                <w:szCs w:val="21"/>
              </w:rPr>
              <w:t>目标考核表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以上目标</w:t>
            </w:r>
            <w:r>
              <w:rPr>
                <w:rFonts w:hint="eastAsia" w:asciiTheme="minorEastAsia" w:hAnsiTheme="minorEastAsia" w:eastAsiaTheme="minorEastAsia" w:cstheme="minorEastAsia"/>
                <w:sz w:val="21"/>
                <w:szCs w:val="21"/>
                <w:lang w:eastAsia="zh-CN"/>
              </w:rPr>
              <w:t>基本</w:t>
            </w:r>
            <w:r>
              <w:rPr>
                <w:rFonts w:hint="eastAsia" w:asciiTheme="minorEastAsia" w:hAnsiTheme="minorEastAsia" w:eastAsiaTheme="minorEastAsia" w:cstheme="minorEastAsia"/>
                <w:sz w:val="21"/>
                <w:szCs w:val="21"/>
              </w:rPr>
              <w:t>完成。</w:t>
            </w:r>
          </w:p>
          <w:p>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lang w:val="en-US" w:eastAsia="zh-CN"/>
              </w:rPr>
              <w:t>查</w:t>
            </w:r>
            <w:r>
              <w:rPr>
                <w:rFonts w:hint="eastAsia" w:asciiTheme="minorEastAsia" w:hAnsiTheme="minorEastAsia" w:eastAsiaTheme="minorEastAsia" w:cstheme="minorEastAsia"/>
                <w:b w:val="0"/>
                <w:bCs w:val="0"/>
                <w:sz w:val="21"/>
                <w:szCs w:val="21"/>
              </w:rPr>
              <w:t>管理方案</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由责任部门组织实施，目前在实施中</w:t>
            </w:r>
            <w:r>
              <w:rPr>
                <w:rFonts w:hint="eastAsia" w:asciiTheme="minorEastAsia" w:hAnsiTheme="minorEastAsia" w:eastAsiaTheme="minorEastAsia" w:cstheme="minorEastAsia"/>
                <w:b w:val="0"/>
                <w:bCs w:val="0"/>
                <w:sz w:val="21"/>
                <w:szCs w:val="21"/>
                <w:lang w:eastAsia="zh-CN"/>
              </w:rPr>
              <w:t>。</w:t>
            </w:r>
          </w:p>
        </w:tc>
        <w:tc>
          <w:tcPr>
            <w:tcW w:w="744"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环境因素</w:t>
            </w:r>
          </w:p>
          <w:p>
            <w:pPr>
              <w:pStyle w:val="2"/>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auto"/>
                <w:sz w:val="21"/>
                <w:szCs w:val="21"/>
                <w:lang w:val="en-US" w:eastAsia="zh-CN"/>
              </w:rPr>
              <w:t>危险源</w:t>
            </w:r>
          </w:p>
        </w:tc>
        <w:tc>
          <w:tcPr>
            <w:tcW w:w="960" w:type="dxa"/>
            <w:vAlign w:val="top"/>
          </w:tcPr>
          <w:p>
            <w:pPr>
              <w:spacing w:line="280" w:lineRule="exact"/>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6.1.2</w:t>
            </w:r>
          </w:p>
        </w:tc>
        <w:tc>
          <w:tcPr>
            <w:tcW w:w="10845" w:type="dxa"/>
            <w:vAlign w:val="center"/>
          </w:tcPr>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见</w:t>
            </w:r>
            <w:r>
              <w:rPr>
                <w:rFonts w:hint="eastAsia" w:asciiTheme="minorEastAsia" w:hAnsiTheme="minorEastAsia" w:eastAsiaTheme="minorEastAsia" w:cstheme="minorEastAsia"/>
                <w:color w:val="auto"/>
                <w:sz w:val="21"/>
                <w:szCs w:val="21"/>
              </w:rPr>
              <w:t>《环境因素汇总及评价表》，</w:t>
            </w:r>
            <w:r>
              <w:rPr>
                <w:rFonts w:hint="eastAsia" w:asciiTheme="minorEastAsia" w:hAnsiTheme="minorEastAsia" w:eastAsiaTheme="minorEastAsia" w:cstheme="minorEastAsia"/>
                <w:color w:val="auto"/>
                <w:sz w:val="21"/>
                <w:szCs w:val="21"/>
                <w:lang w:val="en-US" w:eastAsia="zh-CN"/>
              </w:rPr>
              <w:t>见</w:t>
            </w:r>
            <w:r>
              <w:rPr>
                <w:rFonts w:hint="eastAsia" w:asciiTheme="minorEastAsia" w:hAnsiTheme="minorEastAsia" w:eastAsiaTheme="minorEastAsia" w:cstheme="minorEastAsia"/>
                <w:color w:val="auto"/>
                <w:sz w:val="21"/>
                <w:szCs w:val="21"/>
              </w:rPr>
              <w:t>《重要环境因素清单》，涉及本部门的环境因素有办公活动中生活垃圾排放、纸张等办公用品消耗、生活废水排放、废墨盒、废旧电池等废品排放、火灾事故发生等。</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重要环境因素为日常办公过程中水电能源的消耗、固废的排放、火灾事故的发生等。</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控制措施主要有：固废分类存放、办公危废交耗材供应单位、定期监测、日常培训、消防配备消防器材等措施。</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查《职业健康安全风险评估控制表》，《不可接受风险一览表》，涉及</w:t>
            </w:r>
            <w:r>
              <w:rPr>
                <w:rFonts w:hint="eastAsia" w:asciiTheme="minorEastAsia" w:hAnsiTheme="minorEastAsia" w:eastAsiaTheme="minorEastAsia" w:cstheme="minorEastAsia"/>
                <w:color w:val="auto"/>
                <w:sz w:val="21"/>
                <w:szCs w:val="21"/>
                <w:lang w:val="en-US" w:eastAsia="zh-CN"/>
              </w:rPr>
              <w:t>本部门</w:t>
            </w:r>
            <w:r>
              <w:rPr>
                <w:rFonts w:hint="eastAsia" w:asciiTheme="minorEastAsia" w:hAnsiTheme="minorEastAsia" w:eastAsiaTheme="minorEastAsia" w:cstheme="minorEastAsia"/>
                <w:color w:val="auto"/>
                <w:sz w:val="21"/>
                <w:szCs w:val="21"/>
              </w:rPr>
              <w:t>的危险源主要是火灾和触电等。如乱拉乱接电线/引发火灾，直接将电线插入插座用电/引发火灾、办公电脑、打印机辐射伤人，在共用</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吸烟/危害他人健康，产品超层堆码滚落引起人身伤害，相关方进入生产现场防护缺陷引起人身伤害等。</w:t>
            </w:r>
          </w:p>
          <w:p>
            <w:pPr>
              <w:pStyle w:val="2"/>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color w:val="auto"/>
                <w:sz w:val="21"/>
                <w:szCs w:val="21"/>
              </w:rPr>
              <w:t>危险源控制执行管理方案、配备消防器材、个体防护、日常检查、日常培训教育等运行控制措施等。</w:t>
            </w:r>
          </w:p>
        </w:tc>
        <w:tc>
          <w:tcPr>
            <w:tcW w:w="744"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运行的策划和控制</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8.1</w:t>
            </w:r>
          </w:p>
        </w:tc>
        <w:tc>
          <w:tcPr>
            <w:tcW w:w="1084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部门执行废弃物控制程序、环境运行控制程序等。</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查2020年1月-9月财务资金支持：</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环境、安全费用统计</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ab/>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费用统计（万元）</w:t>
            </w:r>
            <w:r>
              <w:rPr>
                <w:rFonts w:hint="eastAsia" w:asciiTheme="minorEastAsia" w:hAnsiTheme="minorEastAsia" w:eastAsiaTheme="minorEastAsia" w:cstheme="minorEastAsia"/>
                <w:color w:val="auto"/>
                <w:sz w:val="21"/>
                <w:szCs w:val="21"/>
                <w:lang w:val="en-US" w:eastAsia="zh-CN"/>
              </w:rPr>
              <w:tab/>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保险、社保</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45</w:t>
            </w:r>
            <w:r>
              <w:rPr>
                <w:rFonts w:hint="eastAsia" w:asciiTheme="minorEastAsia" w:hAnsiTheme="minorEastAsia" w:eastAsiaTheme="minorEastAsia" w:cstheme="minorEastAsia"/>
                <w:color w:val="auto"/>
                <w:sz w:val="21"/>
                <w:szCs w:val="21"/>
                <w:lang w:val="en-US" w:eastAsia="zh-CN"/>
              </w:rPr>
              <w:tab/>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安全教育培训费用</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0.5</w:t>
            </w:r>
            <w:r>
              <w:rPr>
                <w:rFonts w:hint="eastAsia" w:asciiTheme="minorEastAsia" w:hAnsiTheme="minorEastAsia" w:eastAsiaTheme="minorEastAsia" w:cstheme="minorEastAsia"/>
                <w:color w:val="auto"/>
                <w:sz w:val="21"/>
                <w:szCs w:val="21"/>
                <w:lang w:val="en-US" w:eastAsia="zh-CN"/>
              </w:rPr>
              <w:tab/>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环保设施</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38.9</w:t>
            </w:r>
            <w:r>
              <w:rPr>
                <w:rFonts w:hint="eastAsia" w:asciiTheme="minorEastAsia" w:hAnsiTheme="minorEastAsia" w:eastAsiaTheme="minorEastAsia" w:cstheme="minorEastAsia"/>
                <w:color w:val="auto"/>
                <w:sz w:val="21"/>
                <w:szCs w:val="21"/>
                <w:lang w:val="en-US" w:eastAsia="zh-CN"/>
              </w:rPr>
              <w:tab/>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垃圾处理</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2.4</w:t>
            </w:r>
            <w:r>
              <w:rPr>
                <w:rFonts w:hint="eastAsia" w:asciiTheme="minorEastAsia" w:hAnsiTheme="minorEastAsia" w:eastAsiaTheme="minorEastAsia" w:cstheme="minorEastAsia"/>
                <w:color w:val="auto"/>
                <w:sz w:val="21"/>
                <w:szCs w:val="21"/>
                <w:lang w:val="en-US" w:eastAsia="zh-CN"/>
              </w:rPr>
              <w:tab/>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劳保用品</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lang w:val="en-US" w:eastAsia="zh-CN"/>
              </w:rPr>
              <w:tab/>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合计总费用</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88</w:t>
            </w:r>
          </w:p>
          <w:p>
            <w:pPr>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运行控制情况：办公过程注意节约用电，做到人走灯灭，电脑长时间不用时关机，下班前要关闭电源。</w:t>
            </w:r>
          </w:p>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rPr>
              <w:t>办公过程使用的电器如：空调、电脑、灯具均符合安全设计要求，使用过程注意安全，预防触电，工作时间平均每天8小时；</w:t>
            </w:r>
          </w:p>
          <w:p>
            <w:pPr>
              <w:tabs>
                <w:tab w:val="left" w:pos="7380"/>
              </w:tabs>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 相关方控制：提供相关方告知书，告知书写是明了公司的管理方针、目标和相关控制要求。 </w:t>
            </w:r>
          </w:p>
          <w:p>
            <w:pPr>
              <w:tabs>
                <w:tab w:val="left" w:pos="7380"/>
              </w:tabs>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现场有</w:t>
            </w:r>
            <w:r>
              <w:rPr>
                <w:rFonts w:hint="eastAsia" w:asciiTheme="minorEastAsia" w:hAnsiTheme="minorEastAsia" w:eastAsiaTheme="minorEastAsia" w:cstheme="minorEastAsia"/>
                <w:color w:val="auto"/>
                <w:sz w:val="21"/>
                <w:szCs w:val="21"/>
                <w:lang w:eastAsia="zh-CN"/>
              </w:rPr>
              <w:t>灭火器等消防设备、垃圾桶等；</w:t>
            </w:r>
          </w:p>
          <w:p>
            <w:pPr>
              <w:tabs>
                <w:tab w:val="left" w:pos="7380"/>
              </w:tabs>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提供了环境管理方案实施情况检查记录表</w:t>
            </w:r>
            <w:r>
              <w:rPr>
                <w:rFonts w:hint="eastAsia" w:asciiTheme="minorEastAsia" w:hAnsiTheme="minorEastAsia" w:eastAsiaTheme="minorEastAsia" w:cstheme="minorEastAsia"/>
                <w:color w:val="auto"/>
                <w:sz w:val="21"/>
                <w:szCs w:val="21"/>
                <w:lang w:val="en-US" w:eastAsia="zh-CN"/>
              </w:rPr>
              <w:t>,无异常。</w:t>
            </w:r>
          </w:p>
        </w:tc>
        <w:tc>
          <w:tcPr>
            <w:tcW w:w="744"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 xml:space="preserve">应急准备和响应 </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lang w:val="en-US" w:eastAsia="zh-CN"/>
              </w:rPr>
              <w:t>2</w:t>
            </w:r>
          </w:p>
        </w:tc>
        <w:tc>
          <w:tcPr>
            <w:tcW w:w="10845" w:type="dxa"/>
            <w:vAlign w:val="center"/>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现场巡视办公区有灭火器和消防栓，均有效。</w:t>
            </w:r>
          </w:p>
          <w:p>
            <w:pPr>
              <w:pStyle w:val="2"/>
              <w:spacing w:beforeLines="30" w:afterLines="30"/>
              <w:ind w:firstLine="46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自体系运行以来尚未发生紧急情况。</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按时参加综合部的应急演练，具体见综合部条款。</w:t>
            </w:r>
          </w:p>
        </w:tc>
        <w:tc>
          <w:tcPr>
            <w:tcW w:w="744"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bl>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20325"/>
    <w:multiLevelType w:val="singleLevel"/>
    <w:tmpl w:val="85920325"/>
    <w:lvl w:ilvl="0" w:tentative="0">
      <w:start w:val="1"/>
      <w:numFmt w:val="decimal"/>
      <w:suff w:val="nothing"/>
      <w:lvlText w:val="%1、"/>
      <w:lvlJc w:val="left"/>
    </w:lvl>
  </w:abstractNum>
  <w:abstractNum w:abstractNumId="1">
    <w:nsid w:val="C9054CF5"/>
    <w:multiLevelType w:val="singleLevel"/>
    <w:tmpl w:val="C9054CF5"/>
    <w:lvl w:ilvl="0" w:tentative="0">
      <w:start w:val="7"/>
      <w:numFmt w:val="decimal"/>
      <w:suff w:val="nothing"/>
      <w:lvlText w:val="%1、"/>
      <w:lvlJc w:val="left"/>
    </w:lvl>
  </w:abstractNum>
  <w:abstractNum w:abstractNumId="2">
    <w:nsid w:val="1D8A6584"/>
    <w:multiLevelType w:val="singleLevel"/>
    <w:tmpl w:val="1D8A6584"/>
    <w:lvl w:ilvl="0" w:tentative="0">
      <w:start w:val="1"/>
      <w:numFmt w:val="chineseCounting"/>
      <w:suff w:val="nothing"/>
      <w:lvlText w:val="%1、"/>
      <w:lvlJc w:val="left"/>
      <w:rPr>
        <w:rFonts w:hint="eastAsia"/>
      </w:rPr>
    </w:lvl>
  </w:abstractNum>
  <w:abstractNum w:abstractNumId="3">
    <w:nsid w:val="5915B8F7"/>
    <w:multiLevelType w:val="singleLevel"/>
    <w:tmpl w:val="5915B8F7"/>
    <w:lvl w:ilvl="0" w:tentative="0">
      <w:start w:val="1"/>
      <w:numFmt w:val="lowerLetter"/>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62E46"/>
    <w:rsid w:val="001A2D7F"/>
    <w:rsid w:val="002939AD"/>
    <w:rsid w:val="00337922"/>
    <w:rsid w:val="00340867"/>
    <w:rsid w:val="00380837"/>
    <w:rsid w:val="003A198A"/>
    <w:rsid w:val="00410914"/>
    <w:rsid w:val="00536930"/>
    <w:rsid w:val="00564E53"/>
    <w:rsid w:val="005D5659"/>
    <w:rsid w:val="00600C20"/>
    <w:rsid w:val="00644FE2"/>
    <w:rsid w:val="0067640C"/>
    <w:rsid w:val="006E678B"/>
    <w:rsid w:val="007757F3"/>
    <w:rsid w:val="007E6AEB"/>
    <w:rsid w:val="008973EE"/>
    <w:rsid w:val="00971600"/>
    <w:rsid w:val="009973B4"/>
    <w:rsid w:val="009C28C1"/>
    <w:rsid w:val="009F7EED"/>
    <w:rsid w:val="00A80636"/>
    <w:rsid w:val="00AF0AAB"/>
    <w:rsid w:val="00BF597E"/>
    <w:rsid w:val="00C51A36"/>
    <w:rsid w:val="00C55228"/>
    <w:rsid w:val="00CD0D5B"/>
    <w:rsid w:val="00CE315A"/>
    <w:rsid w:val="00D06F59"/>
    <w:rsid w:val="00D8388C"/>
    <w:rsid w:val="00E6224C"/>
    <w:rsid w:val="00EB0164"/>
    <w:rsid w:val="00ED0F62"/>
    <w:rsid w:val="027F1790"/>
    <w:rsid w:val="02A02BD6"/>
    <w:rsid w:val="038A6ED1"/>
    <w:rsid w:val="03F15A11"/>
    <w:rsid w:val="03F72E41"/>
    <w:rsid w:val="04586B14"/>
    <w:rsid w:val="04B67567"/>
    <w:rsid w:val="04C85074"/>
    <w:rsid w:val="075B5536"/>
    <w:rsid w:val="08CF26E7"/>
    <w:rsid w:val="08FD16F6"/>
    <w:rsid w:val="09092742"/>
    <w:rsid w:val="09E52B25"/>
    <w:rsid w:val="09E61EF8"/>
    <w:rsid w:val="0ABC5C68"/>
    <w:rsid w:val="0C8C7DD7"/>
    <w:rsid w:val="0EE205F8"/>
    <w:rsid w:val="102F7430"/>
    <w:rsid w:val="108219C2"/>
    <w:rsid w:val="10A94B9C"/>
    <w:rsid w:val="13A23E86"/>
    <w:rsid w:val="14035535"/>
    <w:rsid w:val="145C32C9"/>
    <w:rsid w:val="15090FB6"/>
    <w:rsid w:val="15DE4C58"/>
    <w:rsid w:val="166E1316"/>
    <w:rsid w:val="189B4AAC"/>
    <w:rsid w:val="18AA61BF"/>
    <w:rsid w:val="18D05AB2"/>
    <w:rsid w:val="19D863F7"/>
    <w:rsid w:val="1A412506"/>
    <w:rsid w:val="1A816E59"/>
    <w:rsid w:val="1B513A41"/>
    <w:rsid w:val="1BD13CF5"/>
    <w:rsid w:val="1C6A4DD9"/>
    <w:rsid w:val="1DB5651B"/>
    <w:rsid w:val="1E413CF9"/>
    <w:rsid w:val="1E794EDB"/>
    <w:rsid w:val="1E8D01F1"/>
    <w:rsid w:val="205B6E45"/>
    <w:rsid w:val="21BE629D"/>
    <w:rsid w:val="23070A7A"/>
    <w:rsid w:val="23370076"/>
    <w:rsid w:val="242148AE"/>
    <w:rsid w:val="25C7690E"/>
    <w:rsid w:val="26307C12"/>
    <w:rsid w:val="269B09D5"/>
    <w:rsid w:val="28AB2408"/>
    <w:rsid w:val="28C70B57"/>
    <w:rsid w:val="28E616CD"/>
    <w:rsid w:val="29C559AB"/>
    <w:rsid w:val="2A445BD7"/>
    <w:rsid w:val="2A6C01C9"/>
    <w:rsid w:val="2BC40603"/>
    <w:rsid w:val="2C42101B"/>
    <w:rsid w:val="2CAF006E"/>
    <w:rsid w:val="2CCE1C78"/>
    <w:rsid w:val="2D5911FC"/>
    <w:rsid w:val="2D8474D3"/>
    <w:rsid w:val="2E0B4902"/>
    <w:rsid w:val="2E2E4DCC"/>
    <w:rsid w:val="2FC76C8A"/>
    <w:rsid w:val="304E0024"/>
    <w:rsid w:val="310866D6"/>
    <w:rsid w:val="311E1B75"/>
    <w:rsid w:val="322572AE"/>
    <w:rsid w:val="33BE33C3"/>
    <w:rsid w:val="33DF2C6A"/>
    <w:rsid w:val="3456730C"/>
    <w:rsid w:val="34776D26"/>
    <w:rsid w:val="34AB4B8F"/>
    <w:rsid w:val="360B7A2A"/>
    <w:rsid w:val="374E5397"/>
    <w:rsid w:val="38183FD5"/>
    <w:rsid w:val="390259D6"/>
    <w:rsid w:val="390E06BC"/>
    <w:rsid w:val="396028E9"/>
    <w:rsid w:val="3B093BDA"/>
    <w:rsid w:val="3CE140FA"/>
    <w:rsid w:val="3D841930"/>
    <w:rsid w:val="3F166FF8"/>
    <w:rsid w:val="3F6F7EAF"/>
    <w:rsid w:val="408E53F6"/>
    <w:rsid w:val="40B54B4C"/>
    <w:rsid w:val="42870943"/>
    <w:rsid w:val="429C55C7"/>
    <w:rsid w:val="436E7C04"/>
    <w:rsid w:val="4417757E"/>
    <w:rsid w:val="443A5EF6"/>
    <w:rsid w:val="4491364D"/>
    <w:rsid w:val="457B4616"/>
    <w:rsid w:val="468675D9"/>
    <w:rsid w:val="481A4FAE"/>
    <w:rsid w:val="496533C4"/>
    <w:rsid w:val="4B7856EA"/>
    <w:rsid w:val="4BF47A5E"/>
    <w:rsid w:val="4D011E4E"/>
    <w:rsid w:val="4D056152"/>
    <w:rsid w:val="4D1D2F0C"/>
    <w:rsid w:val="4D2F6839"/>
    <w:rsid w:val="4D3840B6"/>
    <w:rsid w:val="4D894515"/>
    <w:rsid w:val="4DE32E5E"/>
    <w:rsid w:val="4E245D55"/>
    <w:rsid w:val="4E5036CF"/>
    <w:rsid w:val="4F1340E6"/>
    <w:rsid w:val="4F4335EB"/>
    <w:rsid w:val="4FE17076"/>
    <w:rsid w:val="50F866E3"/>
    <w:rsid w:val="51070779"/>
    <w:rsid w:val="513D0F41"/>
    <w:rsid w:val="52341DAD"/>
    <w:rsid w:val="52F85A76"/>
    <w:rsid w:val="53795475"/>
    <w:rsid w:val="542F255E"/>
    <w:rsid w:val="54757D6A"/>
    <w:rsid w:val="54E13669"/>
    <w:rsid w:val="5603130C"/>
    <w:rsid w:val="5636543D"/>
    <w:rsid w:val="568311D4"/>
    <w:rsid w:val="575A31D4"/>
    <w:rsid w:val="576F18F0"/>
    <w:rsid w:val="599E5227"/>
    <w:rsid w:val="59A44410"/>
    <w:rsid w:val="59D41718"/>
    <w:rsid w:val="5AD04079"/>
    <w:rsid w:val="5AE1308B"/>
    <w:rsid w:val="5C313C03"/>
    <w:rsid w:val="5E2E67E6"/>
    <w:rsid w:val="5EA12B9A"/>
    <w:rsid w:val="5F1C27B1"/>
    <w:rsid w:val="5F5B1BC1"/>
    <w:rsid w:val="5F8B6A7C"/>
    <w:rsid w:val="618F6A78"/>
    <w:rsid w:val="62031B67"/>
    <w:rsid w:val="641A3BF3"/>
    <w:rsid w:val="64335098"/>
    <w:rsid w:val="6486245E"/>
    <w:rsid w:val="6588377E"/>
    <w:rsid w:val="65A01C1F"/>
    <w:rsid w:val="660205E7"/>
    <w:rsid w:val="66B04CF6"/>
    <w:rsid w:val="671B2D47"/>
    <w:rsid w:val="683864BB"/>
    <w:rsid w:val="686C3387"/>
    <w:rsid w:val="68921203"/>
    <w:rsid w:val="68975443"/>
    <w:rsid w:val="6904014F"/>
    <w:rsid w:val="69700493"/>
    <w:rsid w:val="6C4A51AE"/>
    <w:rsid w:val="6C9718D5"/>
    <w:rsid w:val="6D2026E5"/>
    <w:rsid w:val="6D4C0EDC"/>
    <w:rsid w:val="6DC62983"/>
    <w:rsid w:val="6E866B11"/>
    <w:rsid w:val="6EA14B04"/>
    <w:rsid w:val="6F9F54E7"/>
    <w:rsid w:val="700877E0"/>
    <w:rsid w:val="70784462"/>
    <w:rsid w:val="709C5A98"/>
    <w:rsid w:val="70ED54B5"/>
    <w:rsid w:val="71A63E97"/>
    <w:rsid w:val="72032F2A"/>
    <w:rsid w:val="72180E14"/>
    <w:rsid w:val="72C71E6A"/>
    <w:rsid w:val="72E470D0"/>
    <w:rsid w:val="740F7E81"/>
    <w:rsid w:val="74197191"/>
    <w:rsid w:val="742F6376"/>
    <w:rsid w:val="745A0BEF"/>
    <w:rsid w:val="74FD6B39"/>
    <w:rsid w:val="75613FB3"/>
    <w:rsid w:val="7566750A"/>
    <w:rsid w:val="75FA4041"/>
    <w:rsid w:val="76EB729E"/>
    <w:rsid w:val="76F10721"/>
    <w:rsid w:val="774324F2"/>
    <w:rsid w:val="77BE081D"/>
    <w:rsid w:val="788C7483"/>
    <w:rsid w:val="78BA7BDA"/>
    <w:rsid w:val="78ED6AF5"/>
    <w:rsid w:val="7923318F"/>
    <w:rsid w:val="79441F6C"/>
    <w:rsid w:val="798B5D00"/>
    <w:rsid w:val="79AA7F23"/>
    <w:rsid w:val="79CA1A17"/>
    <w:rsid w:val="7A874930"/>
    <w:rsid w:val="7AC549A3"/>
    <w:rsid w:val="7B834B71"/>
    <w:rsid w:val="7B933825"/>
    <w:rsid w:val="7C4927F5"/>
    <w:rsid w:val="7D3006D1"/>
    <w:rsid w:val="7DD35928"/>
    <w:rsid w:val="7E103832"/>
    <w:rsid w:val="7E4638E6"/>
    <w:rsid w:val="7F0527E8"/>
    <w:rsid w:val="7FAA3054"/>
    <w:rsid w:val="7FE364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uiPriority w:val="99"/>
    <w:rPr>
      <w:rFonts w:ascii="Times New Roman" w:hAnsi="Times New Roman" w:eastAsia="宋体" w:cs="Times New Roman"/>
      <w:sz w:val="18"/>
      <w:szCs w:val="18"/>
    </w:rPr>
  </w:style>
  <w:style w:type="character" w:customStyle="1" w:styleId="12">
    <w:name w:val="页脚 Char"/>
    <w:basedOn w:val="10"/>
    <w:link w:val="6"/>
    <w:uiPriority w:val="99"/>
    <w:rPr>
      <w:rFonts w:ascii="Times New Roman" w:hAnsi="Times New Roman" w:eastAsia="宋体" w:cs="Times New Roman"/>
      <w:sz w:val="18"/>
      <w:szCs w:val="18"/>
    </w:rPr>
  </w:style>
  <w:style w:type="character" w:customStyle="1" w:styleId="13">
    <w:name w:val="批注框文本 Char"/>
    <w:basedOn w:val="10"/>
    <w:link w:val="5"/>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2020-09-28T01:56:53Z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