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0474-2020-QEO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北京京电发电力工程设计有限公司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原范围：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bookmarkStart w:id="2" w:name="审核范围"/>
            <w:r>
              <w:rPr>
                <w:rFonts w:hint="eastAsia" w:ascii="宋体" w:hAnsi="宋体"/>
                <w:szCs w:val="21"/>
              </w:rPr>
              <w:t>Q：资质范围内的电力工程（变电工程、送电工程）设计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E：资质范围内的电力工程（变电工程、送电工程）设计及相关环境管理活动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O：资质范围内的电力工程（变电工程、送电工程）设计及相关职业健康安全管理活动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napToGrid w:val="0"/>
              <w:spacing w:line="420" w:lineRule="auto"/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现认证范围：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Q：资质范围内的电力工程设计</w:t>
            </w:r>
          </w:p>
          <w:p>
            <w:pPr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E：资质范围内的电力工程设计及相关环境管理活动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O：资质范围内的电力工程设计及相关职业健康安全管理活动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2143"/>
    <w:multiLevelType w:val="singleLevel"/>
    <w:tmpl w:val="2ABC2143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AC5330"/>
    <w:rsid w:val="48A51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2020-10-09T02:22:14Z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