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960"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0004" w:type="dxa"/>
            <w:vAlign w:val="center"/>
          </w:tcPr>
          <w:p>
            <w:pPr>
              <w:rPr>
                <w:rFonts w:ascii="宋体" w:hAnsi="宋体"/>
                <w:szCs w:val="21"/>
              </w:rPr>
            </w:pPr>
            <w:r>
              <w:rPr>
                <w:rFonts w:hint="eastAsia" w:ascii="宋体" w:hAnsi="宋体"/>
                <w:szCs w:val="21"/>
              </w:rPr>
              <w:t>受审核部门：管理层     主管领导/陪同人员：熊洁/李欣然</w:t>
            </w:r>
          </w:p>
        </w:tc>
        <w:tc>
          <w:tcPr>
            <w:tcW w:w="1585"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spacing w:before="120"/>
              <w:rPr>
                <w:rFonts w:ascii="宋体" w:hAnsi="宋体"/>
                <w:szCs w:val="21"/>
              </w:rPr>
            </w:pPr>
            <w:r>
              <w:rPr>
                <w:rFonts w:hint="eastAsia" w:ascii="宋体" w:hAnsi="宋体"/>
                <w:szCs w:val="21"/>
              </w:rPr>
              <w:t>审核员：朱晓丽     审核时间：2020年10月04日</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adjustRightInd w:val="0"/>
              <w:snapToGrid w:val="0"/>
              <w:spacing w:line="360" w:lineRule="auto"/>
              <w:rPr>
                <w:rFonts w:ascii="宋体" w:hAnsi="宋体"/>
                <w:szCs w:val="21"/>
              </w:rPr>
            </w:pPr>
            <w:r>
              <w:rPr>
                <w:rFonts w:ascii="宋体" w:hAnsi="宋体"/>
                <w:szCs w:val="21"/>
              </w:rPr>
              <w:t>QE:4.1/4.3;/4.4/5.2/6.2/9.2/9.3/7.1</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宋体" w:hAnsi="宋体"/>
                <w:szCs w:val="21"/>
              </w:rPr>
            </w:pPr>
            <w:r>
              <w:rPr>
                <w:rFonts w:hint="eastAsia" w:ascii="宋体" w:hAnsi="宋体"/>
                <w:szCs w:val="21"/>
              </w:rPr>
              <w:t>资质</w:t>
            </w:r>
          </w:p>
        </w:tc>
        <w:tc>
          <w:tcPr>
            <w:tcW w:w="960" w:type="dxa"/>
            <w:vAlign w:val="center"/>
          </w:tcPr>
          <w:p>
            <w:pPr>
              <w:rPr>
                <w:rFonts w:ascii="宋体" w:hAnsi="宋体"/>
                <w:szCs w:val="21"/>
              </w:rPr>
            </w:pPr>
          </w:p>
        </w:tc>
        <w:tc>
          <w:tcPr>
            <w:tcW w:w="10004" w:type="dxa"/>
            <w:vAlign w:val="center"/>
          </w:tcPr>
          <w:p>
            <w:pPr>
              <w:tabs>
                <w:tab w:val="left" w:pos="7380"/>
              </w:tabs>
              <w:rPr>
                <w:rFonts w:ascii="宋体" w:hAnsi="宋体"/>
                <w:color w:val="000000"/>
                <w:szCs w:val="21"/>
              </w:rPr>
            </w:pPr>
            <w:r>
              <w:rPr>
                <w:rFonts w:hint="eastAsia" w:ascii="宋体" w:hAnsi="宋体"/>
                <w:szCs w:val="21"/>
              </w:rPr>
              <w:t>确认受审方名称：北京京电发电力工程设计有限公司</w:t>
            </w:r>
          </w:p>
          <w:p>
            <w:pPr>
              <w:tabs>
                <w:tab w:val="left" w:pos="7380"/>
              </w:tabs>
              <w:rPr>
                <w:rFonts w:ascii="宋体" w:hAnsi="宋体"/>
                <w:szCs w:val="21"/>
              </w:rPr>
            </w:pPr>
            <w:r>
              <w:rPr>
                <w:rFonts w:hint="eastAsia" w:ascii="宋体" w:hAnsi="宋体"/>
                <w:szCs w:val="21"/>
              </w:rPr>
              <w:t>注册地址：</w:t>
            </w:r>
            <w:bookmarkStart w:id="0" w:name="生产地址"/>
            <w:r>
              <w:rPr>
                <w:rFonts w:asciiTheme="minorEastAsia" w:hAnsiTheme="minorEastAsia" w:eastAsiaTheme="minorEastAsia"/>
                <w:sz w:val="20"/>
              </w:rPr>
              <w:t>北京市昌平区沙河镇白各庄小区29号楼北侧二层小黄楼开闭站二楼</w:t>
            </w:r>
            <w:bookmarkEnd w:id="0"/>
          </w:p>
          <w:p>
            <w:pPr>
              <w:tabs>
                <w:tab w:val="left" w:pos="7380"/>
              </w:tabs>
              <w:rPr>
                <w:rFonts w:ascii="宋体" w:hAnsi="宋体"/>
                <w:szCs w:val="21"/>
              </w:rPr>
            </w:pPr>
            <w:r>
              <w:rPr>
                <w:rFonts w:hint="eastAsia" w:ascii="宋体" w:hAnsi="宋体"/>
                <w:szCs w:val="21"/>
              </w:rPr>
              <w:t>经营地址：</w:t>
            </w:r>
            <w:r>
              <w:rPr>
                <w:rFonts w:asciiTheme="minorEastAsia" w:hAnsiTheme="minorEastAsia" w:eastAsiaTheme="minorEastAsia"/>
                <w:sz w:val="20"/>
              </w:rPr>
              <w:t>北京市昌平区沙河镇白各庄小区29号楼北侧二层小黄楼开闭站二楼</w:t>
            </w:r>
          </w:p>
          <w:p>
            <w:pPr>
              <w:tabs>
                <w:tab w:val="left" w:pos="7380"/>
              </w:tabs>
              <w:rPr>
                <w:rFonts w:ascii="宋体" w:hAnsi="宋体"/>
                <w:szCs w:val="21"/>
              </w:rPr>
            </w:pPr>
            <w:r>
              <w:rPr>
                <w:rFonts w:hint="eastAsia" w:ascii="宋体" w:hAnsi="宋体"/>
                <w:szCs w:val="21"/>
              </w:rPr>
              <w:t>资质确认：营业执照、真实有效，符合要求。</w:t>
            </w:r>
          </w:p>
          <w:p>
            <w:pPr>
              <w:tabs>
                <w:tab w:val="left" w:pos="7380"/>
              </w:tabs>
              <w:rPr>
                <w:rFonts w:ascii="宋体" w:hAnsi="宋体"/>
                <w:szCs w:val="21"/>
              </w:rPr>
            </w:pPr>
          </w:p>
          <w:p>
            <w:pPr>
              <w:pStyle w:val="2"/>
            </w:pPr>
            <w:r>
              <w:rPr>
                <w:rFonts w:hint="eastAsia"/>
              </w:rPr>
              <w:t>资质：工程设计资质证书：证书编号：A211030130  有效期至2022年1月16日</w:t>
            </w:r>
          </w:p>
          <w:p>
            <w:pPr>
              <w:pStyle w:val="2"/>
            </w:pPr>
            <w:r>
              <w:t>等级</w:t>
            </w:r>
            <w:r>
              <w:rPr>
                <w:rFonts w:hint="eastAsia"/>
              </w:rPr>
              <w:t>：</w:t>
            </w:r>
            <w:r>
              <w:t>电力行业</w:t>
            </w:r>
            <w:r>
              <w:rPr>
                <w:rFonts w:hint="eastAsia"/>
              </w:rPr>
              <w:t>（变电工程、送电工程）专业丙级</w:t>
            </w:r>
          </w:p>
          <w:p>
            <w:pPr>
              <w:pStyle w:val="2"/>
            </w:pPr>
          </w:p>
          <w:p>
            <w:pPr>
              <w:rPr>
                <w:rFonts w:ascii="宋体" w:hAnsi="宋体"/>
                <w:szCs w:val="21"/>
              </w:rPr>
            </w:pPr>
            <w:r>
              <w:rPr>
                <w:rFonts w:hint="eastAsia" w:ascii="宋体" w:hAnsi="宋体"/>
                <w:szCs w:val="21"/>
              </w:rPr>
              <w:t>审核范围：</w:t>
            </w:r>
          </w:p>
          <w:p>
            <w:pPr>
              <w:rPr>
                <w:rFonts w:ascii="宋体" w:hAnsi="宋体"/>
                <w:szCs w:val="21"/>
              </w:rPr>
            </w:pPr>
            <w:r>
              <w:rPr>
                <w:rFonts w:hint="eastAsia" w:ascii="宋体" w:hAnsi="宋体"/>
                <w:szCs w:val="21"/>
              </w:rPr>
              <w:t>Q：资质范围内的电力工程（变电工程、送电工程）设计</w:t>
            </w:r>
          </w:p>
          <w:p>
            <w:pPr>
              <w:rPr>
                <w:rFonts w:ascii="宋体" w:hAnsi="宋体"/>
                <w:szCs w:val="21"/>
              </w:rPr>
            </w:pPr>
            <w:r>
              <w:rPr>
                <w:rFonts w:hint="eastAsia" w:ascii="宋体" w:hAnsi="宋体"/>
                <w:szCs w:val="21"/>
              </w:rPr>
              <w:t>E：资质范围内的电力工程（变电工程、送电工程）设计及相关环境管理活动</w:t>
            </w:r>
          </w:p>
          <w:p>
            <w:pPr>
              <w:rPr>
                <w:rFonts w:ascii="宋体" w:hAnsi="宋体"/>
                <w:szCs w:val="21"/>
              </w:rPr>
            </w:pPr>
          </w:p>
          <w:p>
            <w:pPr>
              <w:tabs>
                <w:tab w:val="left" w:pos="7380"/>
              </w:tabs>
              <w:rPr>
                <w:rFonts w:ascii="宋体" w:hAnsi="宋体"/>
                <w:szCs w:val="21"/>
              </w:rPr>
            </w:pPr>
            <w:r>
              <w:rPr>
                <w:rFonts w:hint="eastAsia" w:ascii="宋体" w:hAnsi="宋体"/>
                <w:szCs w:val="21"/>
              </w:rPr>
              <w:t>总经理：熊洁，管理者代表：薛永兴</w:t>
            </w:r>
          </w:p>
          <w:p>
            <w:pPr>
              <w:tabs>
                <w:tab w:val="left" w:pos="7380"/>
              </w:tabs>
              <w:rPr>
                <w:rFonts w:ascii="宋体" w:hAnsi="宋体"/>
                <w:szCs w:val="21"/>
              </w:rPr>
            </w:pP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组织及其环境</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QE4.1</w:t>
            </w:r>
          </w:p>
          <w:p>
            <w:pPr>
              <w:tabs>
                <w:tab w:val="left" w:pos="7380"/>
              </w:tabs>
              <w:rPr>
                <w:rFonts w:ascii="宋体" w:hAnsi="宋体"/>
                <w:b/>
                <w:szCs w:val="21"/>
              </w:rPr>
            </w:pPr>
          </w:p>
        </w:tc>
        <w:tc>
          <w:tcPr>
            <w:tcW w:w="10004" w:type="dxa"/>
          </w:tcPr>
          <w:p>
            <w:pPr>
              <w:pStyle w:val="18"/>
              <w:rPr>
                <w:rFonts w:ascii="宋体" w:hAnsi="宋体"/>
                <w:sz w:val="21"/>
                <w:szCs w:val="21"/>
              </w:rPr>
            </w:pPr>
            <w:r>
              <w:rPr>
                <w:rFonts w:hint="eastAsia" w:ascii="宋体" w:hAnsi="宋体"/>
                <w:sz w:val="21"/>
                <w:szCs w:val="21"/>
              </w:rPr>
              <w:t>公司</w:t>
            </w:r>
            <w:r>
              <w:rPr>
                <w:rFonts w:ascii="宋体" w:hAnsi="宋体"/>
                <w:sz w:val="21"/>
                <w:szCs w:val="21"/>
              </w:rPr>
              <w:t>20</w:t>
            </w:r>
            <w:r>
              <w:rPr>
                <w:rFonts w:hint="eastAsia" w:ascii="宋体" w:hAnsi="宋体"/>
                <w:sz w:val="21"/>
                <w:szCs w:val="21"/>
              </w:rPr>
              <w:t>20</w:t>
            </w:r>
            <w:r>
              <w:rPr>
                <w:rFonts w:ascii="宋体" w:hAnsi="宋体"/>
                <w:sz w:val="21"/>
                <w:szCs w:val="21"/>
              </w:rPr>
              <w:t>年</w:t>
            </w:r>
            <w:r>
              <w:rPr>
                <w:rFonts w:hint="eastAsia" w:ascii="宋体" w:hAnsi="宋体"/>
                <w:sz w:val="21"/>
                <w:szCs w:val="21"/>
              </w:rPr>
              <w:t>3</w:t>
            </w:r>
            <w:r>
              <w:rPr>
                <w:rFonts w:ascii="宋体" w:hAnsi="宋体"/>
                <w:sz w:val="21"/>
                <w:szCs w:val="21"/>
              </w:rPr>
              <w:t>月1</w:t>
            </w:r>
            <w:r>
              <w:rPr>
                <w:rFonts w:hint="eastAsia" w:ascii="宋体" w:hAnsi="宋体"/>
                <w:sz w:val="21"/>
                <w:szCs w:val="21"/>
              </w:rPr>
              <w:t>0</w:t>
            </w:r>
            <w:r>
              <w:rPr>
                <w:rFonts w:ascii="宋体" w:hAnsi="宋体"/>
                <w:sz w:val="21"/>
                <w:szCs w:val="21"/>
              </w:rPr>
              <w:t>日</w:t>
            </w:r>
            <w:r>
              <w:rPr>
                <w:rFonts w:hint="eastAsia" w:ascii="宋体" w:hAnsi="宋体"/>
                <w:sz w:val="21"/>
                <w:szCs w:val="21"/>
              </w:rPr>
              <w:t>发布实施了管理手册\程序文件，管理手册\程序文件按</w:t>
            </w:r>
            <w:r>
              <w:rPr>
                <w:rFonts w:hint="eastAsia" w:ascii="宋体" w:hAnsi="宋体" w:cs="宋体"/>
                <w:sz w:val="21"/>
                <w:szCs w:val="21"/>
              </w:rPr>
              <w:t>GB/T1</w:t>
            </w:r>
            <w:r>
              <w:rPr>
                <w:rFonts w:hint="eastAsia" w:ascii="宋体" w:hAnsi="宋体"/>
                <w:sz w:val="21"/>
                <w:szCs w:val="21"/>
              </w:rPr>
              <w:t>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pPr>
              <w:pStyle w:val="18"/>
              <w:rPr>
                <w:rFonts w:ascii="宋体" w:hAnsi="宋体"/>
                <w:sz w:val="21"/>
                <w:szCs w:val="21"/>
              </w:rPr>
            </w:pPr>
            <w:r>
              <w:rPr>
                <w:rFonts w:hint="eastAsia" w:ascii="宋体" w:hAnsi="宋体"/>
                <w:sz w:val="21"/>
                <w:szCs w:val="21"/>
              </w:rPr>
              <w:t>公司识别、确定了与战略、目标相关、影响实现管理体系预期结果的内外部因素，并且关注不断变化的内外部信息。</w:t>
            </w:r>
          </w:p>
          <w:p>
            <w:pPr>
              <w:pStyle w:val="18"/>
              <w:rPr>
                <w:rFonts w:ascii="宋体" w:hAnsi="宋体"/>
                <w:szCs w:val="21"/>
                <w:lang w:val="en-GB"/>
              </w:rPr>
            </w:pPr>
            <w:r>
              <w:rPr>
                <w:rFonts w:hint="eastAsia" w:ascii="宋体" w:hAnsi="宋体"/>
                <w:sz w:val="21"/>
                <w:szCs w:val="21"/>
              </w:rPr>
              <w:t>企业对内外部环境进行了识别，</w:t>
            </w:r>
            <w:r>
              <w:rPr>
                <w:rFonts w:hint="eastAsia" w:ascii="宋体" w:hAnsi="宋体"/>
                <w:szCs w:val="21"/>
                <w:lang w:val="en-GB"/>
              </w:rPr>
              <w:t>内外部环境分析基本符合公司情况</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管理体系的范围</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QE4.3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公司按照标准要求编写了体系文件，管理体系文件包括管理手册、程序文件、作业文件和记录表格等内容，管理手册中包括了管理方针和管理目标，并给出了各级文件的接口。</w:t>
            </w:r>
          </w:p>
          <w:p>
            <w:pPr>
              <w:tabs>
                <w:tab w:val="left" w:pos="7380"/>
              </w:tabs>
              <w:rPr>
                <w:rFonts w:ascii="宋体" w:hAnsi="宋体" w:cs="宋体"/>
                <w:color w:val="000000"/>
                <w:kern w:val="0"/>
                <w:szCs w:val="21"/>
              </w:rPr>
            </w:pPr>
            <w:r>
              <w:rPr>
                <w:rFonts w:hint="eastAsia" w:ascii="宋体" w:hAnsi="宋体"/>
                <w:szCs w:val="21"/>
              </w:rPr>
              <w:t>管理手册中明确了</w:t>
            </w:r>
            <w:r>
              <w:rPr>
                <w:rFonts w:hint="eastAsia" w:ascii="宋体" w:hAnsi="宋体" w:cs="宋体"/>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rPr>
                <w:rFonts w:ascii="宋体" w:hAnsi="宋体" w:cs="宋体"/>
                <w:color w:val="000000"/>
                <w:kern w:val="0"/>
                <w:szCs w:val="21"/>
              </w:rPr>
            </w:pPr>
            <w:r>
              <w:rPr>
                <w:rFonts w:hint="eastAsia" w:ascii="宋体" w:hAnsi="宋体" w:cs="宋体"/>
                <w:color w:val="000000"/>
                <w:kern w:val="0"/>
                <w:szCs w:val="21"/>
              </w:rPr>
              <w:t>过程或活动：</w:t>
            </w:r>
          </w:p>
          <w:p>
            <w:pPr>
              <w:rPr>
                <w:rFonts w:ascii="宋体" w:hAnsi="宋体"/>
                <w:szCs w:val="21"/>
              </w:rPr>
            </w:pPr>
            <w:r>
              <w:rPr>
                <w:rFonts w:hint="eastAsia" w:ascii="宋体" w:hAnsi="宋体"/>
                <w:szCs w:val="21"/>
              </w:rPr>
              <w:t>Q：资质范围内的电力工程（变电工程、送电工程）设计</w:t>
            </w:r>
          </w:p>
          <w:p>
            <w:pPr>
              <w:rPr>
                <w:rFonts w:ascii="宋体" w:hAnsi="宋体"/>
                <w:szCs w:val="21"/>
              </w:rPr>
            </w:pPr>
            <w:r>
              <w:rPr>
                <w:rFonts w:hint="eastAsia" w:ascii="宋体" w:hAnsi="宋体"/>
                <w:szCs w:val="21"/>
              </w:rPr>
              <w:t>E：资质范围内的电力工程（变电工程、送电工程）设计及相关环境管理活动</w:t>
            </w:r>
          </w:p>
          <w:p>
            <w:pPr>
              <w:tabs>
                <w:tab w:val="left" w:pos="7380"/>
              </w:tabs>
              <w:rPr>
                <w:rFonts w:ascii="宋体" w:hAnsi="宋体"/>
                <w:szCs w:val="21"/>
              </w:rPr>
            </w:pPr>
            <w:r>
              <w:rPr>
                <w:rFonts w:hint="eastAsia" w:ascii="宋体" w:hAnsi="宋体" w:cs="宋体"/>
                <w:color w:val="000000"/>
                <w:kern w:val="0"/>
                <w:szCs w:val="21"/>
              </w:rPr>
              <w:t>涉及场所：北京市昌平区沙河镇白各庄小区29号楼北侧二层小黄楼开闭站二楼</w:t>
            </w:r>
          </w:p>
          <w:p>
            <w:pPr>
              <w:tabs>
                <w:tab w:val="left" w:pos="7380"/>
              </w:tabs>
              <w:rPr>
                <w:rFonts w:ascii="宋体" w:hAnsi="宋体"/>
                <w:szCs w:val="21"/>
              </w:rPr>
            </w:pPr>
            <w:r>
              <w:rPr>
                <w:rFonts w:hint="eastAsia" w:ascii="宋体" w:hAnsi="宋体"/>
                <w:szCs w:val="21"/>
              </w:rPr>
              <w:t>外包：无</w:t>
            </w:r>
          </w:p>
          <w:p>
            <w:pPr>
              <w:tabs>
                <w:tab w:val="left" w:pos="7380"/>
              </w:tabs>
              <w:rPr>
                <w:rFonts w:ascii="宋体" w:hAnsi="宋体"/>
                <w:szCs w:val="21"/>
              </w:rPr>
            </w:pPr>
            <w:r>
              <w:rPr>
                <w:rFonts w:hint="eastAsia" w:ascii="宋体" w:hAnsi="宋体"/>
                <w:szCs w:val="21"/>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ascii="宋体" w:hAnsi="宋体"/>
                <w:szCs w:val="21"/>
              </w:rPr>
              <w:t>管理体系及其过程</w:t>
            </w:r>
          </w:p>
          <w:p>
            <w:pPr>
              <w:rPr>
                <w:rFonts w:ascii="宋体" w:hAnsi="宋体"/>
                <w:szCs w:val="21"/>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QE4.4</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cs="宋体"/>
                <w:kern w:val="0"/>
                <w:szCs w:val="21"/>
              </w:rPr>
              <w:t>依据GB/T1</w:t>
            </w:r>
            <w:r>
              <w:rPr>
                <w:rFonts w:hint="eastAsia" w:ascii="宋体" w:hAnsi="宋体"/>
                <w:szCs w:val="21"/>
              </w:rPr>
              <w:t>9001-2016、GB/T24001-2016标准</w:t>
            </w:r>
            <w:r>
              <w:rPr>
                <w:rFonts w:hint="eastAsia" w:ascii="宋体" w:hAnsi="宋体" w:cs="宋体"/>
                <w:kern w:val="0"/>
                <w:szCs w:val="21"/>
              </w:rPr>
              <w:t>要求，并结合企业产品特点对管理体系进行了策划，策划基本体现了PDCA的思路。</w:t>
            </w:r>
          </w:p>
          <w:p>
            <w:pPr>
              <w:tabs>
                <w:tab w:val="left" w:pos="7380"/>
              </w:tabs>
              <w:rPr>
                <w:rFonts w:ascii="宋体" w:hAnsi="宋体"/>
                <w:szCs w:val="21"/>
              </w:rPr>
            </w:pPr>
            <w:r>
              <w:rPr>
                <w:rFonts w:hint="eastAsia" w:ascii="宋体" w:hAnsi="宋体"/>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tabs>
                <w:tab w:val="left" w:pos="7380"/>
              </w:tabs>
              <w:rPr>
                <w:rFonts w:ascii="宋体" w:hAnsi="宋体"/>
                <w:szCs w:val="21"/>
              </w:rPr>
            </w:pPr>
            <w:r>
              <w:rPr>
                <w:rFonts w:hint="eastAsia" w:ascii="宋体" w:hAnsi="宋体"/>
                <w:szCs w:val="21"/>
              </w:rPr>
              <w:t>公司外包过程：无</w:t>
            </w:r>
          </w:p>
          <w:p>
            <w:pPr>
              <w:tabs>
                <w:tab w:val="left" w:pos="7380"/>
              </w:tabs>
              <w:rPr>
                <w:rFonts w:ascii="宋体" w:hAnsi="宋体"/>
                <w:szCs w:val="21"/>
              </w:rPr>
            </w:pPr>
            <w:r>
              <w:rPr>
                <w:rFonts w:hint="eastAsia" w:ascii="宋体" w:hAnsi="宋体"/>
                <w:szCs w:val="21"/>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方针</w:t>
            </w:r>
          </w:p>
          <w:p>
            <w:pPr>
              <w:rPr>
                <w:rFonts w:ascii="宋体" w:hAnsi="宋体"/>
                <w:szCs w:val="21"/>
              </w:rPr>
            </w:pPr>
          </w:p>
        </w:tc>
        <w:tc>
          <w:tcPr>
            <w:tcW w:w="960" w:type="dxa"/>
          </w:tcPr>
          <w:p>
            <w:pPr>
              <w:rPr>
                <w:rFonts w:ascii="宋体" w:hAnsi="宋体"/>
                <w:szCs w:val="21"/>
              </w:rPr>
            </w:pPr>
            <w:r>
              <w:rPr>
                <w:rFonts w:hint="eastAsia" w:ascii="宋体" w:hAnsi="宋体"/>
                <w:szCs w:val="21"/>
              </w:rPr>
              <w:t>QE5.2</w:t>
            </w:r>
          </w:p>
          <w:p>
            <w:pPr>
              <w:tabs>
                <w:tab w:val="left" w:pos="7380"/>
              </w:tabs>
              <w:rPr>
                <w:rFonts w:ascii="宋体" w:hAnsi="宋体"/>
                <w:b/>
                <w:szCs w:val="21"/>
              </w:rPr>
            </w:pPr>
          </w:p>
        </w:tc>
        <w:tc>
          <w:tcPr>
            <w:tcW w:w="10004" w:type="dxa"/>
          </w:tcPr>
          <w:p>
            <w:pPr>
              <w:tabs>
                <w:tab w:val="left" w:pos="7380"/>
              </w:tabs>
              <w:rPr>
                <w:rFonts w:ascii="宋体" w:hAnsi="宋体" w:cs="Tahoma"/>
                <w:szCs w:val="21"/>
              </w:rPr>
            </w:pPr>
            <w:r>
              <w:rPr>
                <w:rFonts w:hint="eastAsia" w:ascii="宋体" w:hAnsi="宋体" w:cs="Tahoma"/>
                <w:szCs w:val="21"/>
              </w:rPr>
              <w:t>方针：守法诚信追求质量，预防污染保护环境；</w:t>
            </w:r>
          </w:p>
          <w:p>
            <w:pPr>
              <w:tabs>
                <w:tab w:val="left" w:pos="7380"/>
              </w:tabs>
              <w:rPr>
                <w:rFonts w:ascii="宋体" w:hAnsi="宋体"/>
                <w:szCs w:val="21"/>
              </w:rPr>
            </w:pPr>
            <w:r>
              <w:rPr>
                <w:rFonts w:hint="eastAsia" w:ascii="宋体" w:hAnsi="宋体" w:cs="Tahoma"/>
                <w:szCs w:val="21"/>
              </w:rPr>
              <w:t xml:space="preserve">                  关爱员工健康安全，持续改进追求卓越。</w:t>
            </w:r>
          </w:p>
          <w:p>
            <w:pPr>
              <w:tabs>
                <w:tab w:val="left" w:pos="7380"/>
              </w:tabs>
              <w:rPr>
                <w:rFonts w:ascii="宋体" w:hAnsi="宋体" w:cs="Tahoma"/>
                <w:szCs w:val="21"/>
              </w:rPr>
            </w:pPr>
            <w:r>
              <w:rPr>
                <w:rFonts w:hint="eastAsia" w:ascii="宋体" w:hAnsi="宋体"/>
                <w:szCs w:val="21"/>
              </w:rPr>
              <w:t>方针在管理手册中予以规定，经总经理批准实施。</w:t>
            </w:r>
          </w:p>
          <w:p>
            <w:pPr>
              <w:tabs>
                <w:tab w:val="left" w:pos="7380"/>
              </w:tabs>
              <w:rPr>
                <w:rFonts w:ascii="宋体" w:hAnsi="宋体"/>
                <w:szCs w:val="21"/>
              </w:rPr>
            </w:pPr>
            <w:r>
              <w:rPr>
                <w:rFonts w:hint="eastAsia" w:ascii="宋体" w:hAnsi="宋体"/>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目标及其实现的策划</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Q6.2</w:t>
            </w:r>
          </w:p>
          <w:p>
            <w:pPr>
              <w:tabs>
                <w:tab w:val="left" w:pos="7380"/>
              </w:tabs>
              <w:rPr>
                <w:rFonts w:ascii="宋体" w:hAnsi="宋体"/>
                <w:szCs w:val="21"/>
              </w:rPr>
            </w:pPr>
            <w:r>
              <w:rPr>
                <w:rFonts w:hint="eastAsia" w:ascii="宋体" w:hAnsi="宋体"/>
                <w:szCs w:val="21"/>
              </w:rPr>
              <w:t>E6.2</w:t>
            </w:r>
          </w:p>
          <w:p>
            <w:pPr>
              <w:rPr>
                <w:rFonts w:ascii="宋体" w:hAnsi="宋体"/>
                <w:szCs w:val="21"/>
              </w:rPr>
            </w:pPr>
          </w:p>
        </w:tc>
        <w:tc>
          <w:tcPr>
            <w:tcW w:w="10004" w:type="dxa"/>
          </w:tcPr>
          <w:p>
            <w:pPr>
              <w:rPr>
                <w:rFonts w:ascii="宋体" w:hAnsi="宋体"/>
                <w:szCs w:val="21"/>
              </w:rPr>
            </w:pPr>
            <w:r>
              <w:rPr>
                <w:rFonts w:hint="eastAsia" w:ascii="宋体" w:hAnsi="宋体"/>
                <w:szCs w:val="21"/>
              </w:rPr>
              <w:t>管理手册中明确了质量、环境管理目标为：</w:t>
            </w:r>
          </w:p>
          <w:p>
            <w:pPr>
              <w:rPr>
                <w:rFonts w:hint="eastAsia"/>
              </w:rPr>
            </w:pPr>
            <w:r>
              <w:rPr>
                <w:rFonts w:hint="eastAsia"/>
              </w:rPr>
              <w:t xml:space="preserve">质量目标： </w:t>
            </w:r>
          </w:p>
          <w:p>
            <w:pPr>
              <w:rPr>
                <w:rFonts w:hint="eastAsia"/>
              </w:rPr>
            </w:pPr>
            <w:r>
              <w:rPr>
                <w:rFonts w:hint="eastAsia"/>
              </w:rPr>
              <w:t>1) 技术服务质量合格率100%</w:t>
            </w:r>
          </w:p>
          <w:p>
            <w:pPr>
              <w:rPr>
                <w:rFonts w:hint="eastAsia"/>
              </w:rPr>
            </w:pPr>
            <w:r>
              <w:rPr>
                <w:rFonts w:hint="eastAsia"/>
              </w:rPr>
              <w:t>2) 顾客满意程度95%以上。</w:t>
            </w:r>
          </w:p>
          <w:p>
            <w:pPr>
              <w:rPr>
                <w:rFonts w:hint="eastAsia"/>
              </w:rPr>
            </w:pPr>
            <w:r>
              <w:rPr>
                <w:rFonts w:hint="eastAsia"/>
              </w:rPr>
              <w:t>3) 技术指导按时完成率100%</w:t>
            </w:r>
          </w:p>
          <w:p>
            <w:pPr>
              <w:rPr>
                <w:rFonts w:hint="eastAsia"/>
              </w:rPr>
            </w:pPr>
            <w:r>
              <w:rPr>
                <w:rFonts w:hint="eastAsia"/>
              </w:rPr>
              <w:t xml:space="preserve">    环境目标：1）固体废弃物100%分类，合理处理；</w:t>
            </w:r>
          </w:p>
          <w:p>
            <w:pPr>
              <w:rPr>
                <w:rFonts w:hint="eastAsia"/>
              </w:rPr>
            </w:pPr>
            <w:r>
              <w:rPr>
                <w:rFonts w:hint="eastAsia"/>
              </w:rPr>
              <w:t xml:space="preserve">              2）环境污染事故发生率为零</w:t>
            </w:r>
          </w:p>
          <w:p>
            <w:pPr>
              <w:rPr>
                <w:rFonts w:ascii="宋体" w:hAnsi="宋体"/>
                <w:szCs w:val="21"/>
              </w:rPr>
            </w:pPr>
            <w:r>
              <w:rPr>
                <w:rFonts w:hint="eastAsia" w:ascii="宋体" w:hAnsi="宋体"/>
                <w:szCs w:val="21"/>
              </w:rPr>
              <w:t>2020年3月至2020年9月目标完成情况：均完成。公司的管理目标已分解到相关职能部门。</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left" w:pos="7380"/>
              </w:tabs>
              <w:rPr>
                <w:rFonts w:ascii="宋体" w:hAnsi="宋体"/>
                <w:szCs w:val="21"/>
              </w:rPr>
            </w:pPr>
            <w:r>
              <w:rPr>
                <w:rFonts w:hint="eastAsia" w:ascii="宋体" w:hAnsi="宋体"/>
                <w:szCs w:val="21"/>
              </w:rPr>
              <w:t>资源总则</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Q7.1.1</w:t>
            </w:r>
          </w:p>
          <w:p>
            <w:pPr>
              <w:tabs>
                <w:tab w:val="left" w:pos="7380"/>
              </w:tabs>
              <w:rPr>
                <w:rFonts w:ascii="宋体" w:hAnsi="宋体"/>
                <w:szCs w:val="21"/>
              </w:rPr>
            </w:pPr>
            <w:r>
              <w:rPr>
                <w:rFonts w:hint="eastAsia" w:ascii="宋体" w:hAnsi="宋体"/>
                <w:szCs w:val="21"/>
              </w:rPr>
              <w:t>E7.1</w:t>
            </w:r>
          </w:p>
          <w:p>
            <w:pPr>
              <w:tabs>
                <w:tab w:val="left" w:pos="7380"/>
              </w:tabs>
              <w:rPr>
                <w:rFonts w:ascii="宋体" w:hAnsi="宋体"/>
                <w:szCs w:val="21"/>
              </w:rPr>
            </w:pPr>
          </w:p>
        </w:tc>
        <w:tc>
          <w:tcPr>
            <w:tcW w:w="10004" w:type="dxa"/>
          </w:tcPr>
          <w:p>
            <w:pPr>
              <w:pStyle w:val="17"/>
              <w:tabs>
                <w:tab w:val="left" w:pos="7380"/>
              </w:tabs>
              <w:ind w:firstLine="0" w:firstLineChars="0"/>
              <w:rPr>
                <w:rFonts w:ascii="宋体" w:hAnsi="宋体"/>
                <w:szCs w:val="21"/>
              </w:rPr>
            </w:pPr>
            <w:r>
              <w:rPr>
                <w:rFonts w:hint="eastAsia" w:ascii="宋体" w:hAnsi="宋体"/>
                <w:szCs w:val="21"/>
              </w:rPr>
              <w:t>体系运行有关的人员18人，公司设置了综合部、技术部等职能部门，各部门职责、权限分工明确，包括管理、技术人员、采购、销售人员</w:t>
            </w:r>
            <w:r>
              <w:rPr>
                <w:rFonts w:hint="eastAsia" w:ascii="宋体" w:hAnsi="宋体" w:eastAsia="宋体" w:cs="Times New Roman"/>
                <w:szCs w:val="21"/>
              </w:rPr>
              <w:t>等；公司经营面积</w:t>
            </w:r>
            <w:r>
              <w:rPr>
                <w:rFonts w:hint="eastAsia" w:ascii="宋体" w:hAnsi="宋体" w:eastAsia="宋体" w:cs="Times New Roman"/>
                <w:szCs w:val="21"/>
                <w:lang w:val="en-US" w:eastAsia="zh-CN"/>
              </w:rPr>
              <w:t>350</w:t>
            </w:r>
            <w:r>
              <w:rPr>
                <w:rFonts w:hint="eastAsia" w:ascii="宋体" w:hAnsi="宋体" w:eastAsia="宋体" w:cs="Times New Roman"/>
                <w:szCs w:val="21"/>
              </w:rPr>
              <w:t>平米，配</w:t>
            </w:r>
            <w:r>
              <w:rPr>
                <w:rFonts w:hint="eastAsia" w:ascii="宋体" w:hAnsi="宋体"/>
                <w:szCs w:val="21"/>
              </w:rPr>
              <w:t>备了电脑、打印机、网络、办公桌椅等设施；以及综合部配置有灭火器等安全辅助设备/设施，以及资金、技资源；2、外部资源，如供方、客户等相关方。</w:t>
            </w:r>
          </w:p>
          <w:p>
            <w:pPr>
              <w:pStyle w:val="17"/>
              <w:tabs>
                <w:tab w:val="left" w:pos="7380"/>
              </w:tabs>
              <w:ind w:firstLine="0" w:firstLineChars="0"/>
              <w:rPr>
                <w:rFonts w:ascii="宋体" w:hAnsi="宋体"/>
                <w:szCs w:val="21"/>
              </w:rPr>
            </w:pPr>
            <w:r>
              <w:rPr>
                <w:rFonts w:hint="eastAsia" w:ascii="宋体" w:hAnsi="宋体"/>
                <w:szCs w:val="21"/>
              </w:rPr>
              <w:t>公司所提供的内外部资源基本能满足管理体系运行的需要.</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管理评审</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QE9.3</w:t>
            </w:r>
          </w:p>
          <w:p>
            <w:pPr>
              <w:tabs>
                <w:tab w:val="left" w:pos="7380"/>
              </w:tabs>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公司制定了《管理评审控制程序》，文件规定每年至少进行一次管理评审。总经理于2020年7月20日组织进行了一次管理评审。</w:t>
            </w:r>
          </w:p>
          <w:p>
            <w:pPr>
              <w:tabs>
                <w:tab w:val="left" w:pos="7380"/>
              </w:tabs>
              <w:rPr>
                <w:rFonts w:ascii="宋体" w:hAnsi="宋体"/>
                <w:szCs w:val="21"/>
              </w:rPr>
            </w:pPr>
            <w:r>
              <w:rPr>
                <w:rFonts w:hint="eastAsia" w:ascii="宋体" w:hAnsi="宋体"/>
                <w:szCs w:val="21"/>
              </w:rPr>
              <w:t>查《管理评审计划》，写明了管理评审的目的：对质量、环境管理体系进行评审，确保QE体系持续的适宜性、有效性和充分性。确定了评审时间、地点、评审组织和参加人员。规定了评审内容，提出了评审要求。总经理批准。</w:t>
            </w:r>
          </w:p>
          <w:p>
            <w:pPr>
              <w:tabs>
                <w:tab w:val="left" w:pos="7380"/>
              </w:tabs>
              <w:rPr>
                <w:rFonts w:ascii="宋体" w:hAnsi="宋体"/>
                <w:szCs w:val="21"/>
              </w:rPr>
            </w:pPr>
            <w:r>
              <w:rPr>
                <w:rFonts w:hint="eastAsia" w:ascii="宋体" w:hAnsi="宋体"/>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pPr>
              <w:tabs>
                <w:tab w:val="left" w:pos="7380"/>
              </w:tabs>
              <w:rPr>
                <w:rFonts w:ascii="宋体" w:hAnsi="宋体"/>
                <w:szCs w:val="21"/>
              </w:rPr>
            </w:pPr>
            <w:r>
              <w:rPr>
                <w:rFonts w:hint="eastAsia" w:ascii="宋体" w:hAnsi="宋体"/>
                <w:szCs w:val="21"/>
              </w:rPr>
              <w:t>提供《管理评审报告》，对评审情况进行了总结，各部门对各过程和活动进行了总结和讨论，对内审、客户投诉、方针和目标等方面进行了评审。</w:t>
            </w:r>
          </w:p>
          <w:p>
            <w:pPr>
              <w:tabs>
                <w:tab w:val="left" w:pos="7380"/>
              </w:tabs>
              <w:rPr>
                <w:rFonts w:ascii="宋体" w:hAnsi="宋体"/>
                <w:szCs w:val="21"/>
              </w:rPr>
            </w:pPr>
            <w:r>
              <w:rPr>
                <w:rFonts w:hint="eastAsia" w:ascii="宋体" w:hAnsi="宋体"/>
                <w:szCs w:val="21"/>
              </w:rPr>
              <w:t>评审结论：A．组织员工对某些重要条款进行学习，如：7.5.3文件化信息的控制；</w:t>
            </w:r>
          </w:p>
          <w:p>
            <w:pPr>
              <w:tabs>
                <w:tab w:val="left" w:pos="7380"/>
              </w:tabs>
              <w:rPr>
                <w:rFonts w:ascii="宋体" w:hAnsi="宋体"/>
                <w:szCs w:val="21"/>
              </w:rPr>
            </w:pPr>
            <w:r>
              <w:rPr>
                <w:rFonts w:hint="eastAsia" w:ascii="宋体" w:hAnsi="宋体"/>
                <w:szCs w:val="21"/>
              </w:rPr>
              <w:t>B．建设网站，增强公司市场的推广能力。</w:t>
            </w:r>
          </w:p>
          <w:p>
            <w:pPr>
              <w:tabs>
                <w:tab w:val="left" w:pos="7380"/>
              </w:tabs>
              <w:rPr>
                <w:rFonts w:ascii="宋体" w:hAnsi="宋体"/>
                <w:szCs w:val="21"/>
              </w:rPr>
            </w:pPr>
            <w:r>
              <w:rPr>
                <w:rFonts w:hint="eastAsia" w:ascii="宋体" w:hAnsi="宋体"/>
                <w:szCs w:val="21"/>
              </w:rPr>
              <w:t>C. 管理体系运行稳定、适宜</w:t>
            </w:r>
          </w:p>
          <w:p>
            <w:pPr>
              <w:tabs>
                <w:tab w:val="left" w:pos="7380"/>
              </w:tabs>
              <w:rPr>
                <w:rFonts w:ascii="宋体" w:hAnsi="宋体"/>
                <w:szCs w:val="21"/>
              </w:rPr>
            </w:pPr>
            <w:r>
              <w:rPr>
                <w:rFonts w:hint="eastAsia" w:ascii="宋体" w:hAnsi="宋体"/>
                <w:szCs w:val="21"/>
              </w:rPr>
              <w:t>抽纠正措施完成情况，已完成，符合要求。</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改进</w:t>
            </w:r>
            <w:r>
              <w:rPr>
                <w:rFonts w:ascii="宋体" w:hAnsi="宋体" w:cs="Tahoma"/>
                <w:szCs w:val="21"/>
              </w:rPr>
              <w:t xml:space="preserve">  </w:t>
            </w:r>
            <w:r>
              <w:rPr>
                <w:rFonts w:hint="eastAsia" w:ascii="宋体" w:hAnsi="宋体" w:cs="Tahoma"/>
                <w:szCs w:val="21"/>
              </w:rPr>
              <w:t>总则</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QE10.1</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pPr>
              <w:rPr>
                <w:rFonts w:ascii="宋体" w:hAnsi="宋体"/>
                <w:szCs w:val="21"/>
              </w:rPr>
            </w:pPr>
            <w:r>
              <w:rPr>
                <w:rFonts w:hint="eastAsia" w:ascii="宋体" w:hAnsi="宋体"/>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改进</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QE10.3</w:t>
            </w:r>
          </w:p>
          <w:p>
            <w:pPr>
              <w:tabs>
                <w:tab w:val="left" w:pos="7380"/>
              </w:tabs>
              <w:rPr>
                <w:rFonts w:ascii="宋体" w:hAnsi="宋体"/>
                <w:szCs w:val="21"/>
              </w:rPr>
            </w:pPr>
          </w:p>
        </w:tc>
        <w:tc>
          <w:tcPr>
            <w:tcW w:w="10004" w:type="dxa"/>
          </w:tcPr>
          <w:p>
            <w:pPr>
              <w:tabs>
                <w:tab w:val="left" w:pos="7380"/>
              </w:tabs>
              <w:rPr>
                <w:rFonts w:ascii="宋体" w:hAnsi="宋体"/>
                <w:b/>
                <w:szCs w:val="21"/>
              </w:rPr>
            </w:pPr>
            <w:r>
              <w:rPr>
                <w:rFonts w:hint="eastAsia" w:ascii="宋体" w:hAnsi="宋体" w:cs="Tahoma"/>
                <w:szCs w:val="21"/>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第二阶段重要审核点等相关内容</w:t>
            </w:r>
          </w:p>
        </w:tc>
        <w:tc>
          <w:tcPr>
            <w:tcW w:w="960" w:type="dxa"/>
            <w:vAlign w:val="top"/>
          </w:tcPr>
          <w:p>
            <w:pPr>
              <w:tabs>
                <w:tab w:val="left" w:pos="7380"/>
              </w:tabs>
              <w:rPr>
                <w:rFonts w:hint="eastAsia" w:ascii="宋体" w:hAnsi="宋体" w:eastAsia="宋体" w:cs="Tahoma"/>
                <w:szCs w:val="21"/>
                <w:lang w:val="en-US" w:eastAsia="zh-CN"/>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通过一阶段对受审核方的管理、办公及设计开发巡视和观察，对管理体系绩效要求有重大影响的过程、活动、场所和现场运行进行观察、巡视及总体性评价，组织具备二阶段审核条件，可进行二阶段审核。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Q:设计开发过程、检验过程、采购过程、销售过程等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E:环境因素识别、重要环境因素管理方案、相关方的信息沟通、应急准备和响应控制措施等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重点审核部门：综合部、技术部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重点审核过程：环境因素识别、风险识别评价、运行过程、监视和测量、不符合控制、合规性评价等。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重点审核场所：设计开发场所、办公场所。</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审核时间：2020.10.6-8</w:t>
            </w:r>
          </w:p>
        </w:tc>
        <w:tc>
          <w:tcPr>
            <w:tcW w:w="1585" w:type="dxa"/>
          </w:tcPr>
          <w:p>
            <w:pPr>
              <w:rPr>
                <w:rFonts w:hint="eastAsia" w:ascii="宋体" w:hAnsi="宋体"/>
                <w:szCs w:val="21"/>
              </w:rPr>
            </w:pPr>
          </w:p>
        </w:tc>
      </w:tr>
    </w:tbl>
    <w:p>
      <w:pPr>
        <w:pStyle w:val="7"/>
      </w:pPr>
    </w:p>
    <w:p>
      <w:pPr>
        <w:pStyle w:val="7"/>
      </w:pPr>
    </w:p>
    <w:p>
      <w:pPr>
        <w:pStyle w:val="7"/>
      </w:pP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  综合部    主管领导/陪同人员：李欣然</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 xml:space="preserve">审核员：朱晓丽 </w:t>
            </w:r>
            <w:r>
              <w:rPr>
                <w:rFonts w:hint="eastAsia"/>
                <w:sz w:val="18"/>
                <w:szCs w:val="18"/>
              </w:rPr>
              <w:t xml:space="preserve">    </w:t>
            </w:r>
            <w:r>
              <w:rPr>
                <w:rFonts w:hint="eastAsia"/>
                <w:szCs w:val="21"/>
              </w:rPr>
              <w:t>审核时间：2020年10月04日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rFonts w:hint="eastAsia" w:hAnsi="宋体"/>
                <w:color w:val="000000"/>
                <w:kern w:val="0"/>
                <w:szCs w:val="21"/>
              </w:rPr>
              <w:t>Q7.1.6/7.5；E 6.1.2/6.1.3/6.2.2/7.5/8.2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宋体" w:hAnsi="宋体"/>
                <w:szCs w:val="21"/>
              </w:rPr>
              <w:t>目标及其实现的策划</w:t>
            </w:r>
          </w:p>
        </w:tc>
        <w:tc>
          <w:tcPr>
            <w:tcW w:w="960" w:type="dxa"/>
          </w:tcPr>
          <w:p>
            <w:pPr>
              <w:tabs>
                <w:tab w:val="left" w:pos="7380"/>
              </w:tabs>
              <w:rPr>
                <w:rFonts w:ascii="宋体" w:hAnsi="宋体"/>
                <w:szCs w:val="21"/>
              </w:rPr>
            </w:pPr>
            <w:r>
              <w:rPr>
                <w:rFonts w:hint="eastAsia" w:ascii="宋体" w:hAnsi="宋体"/>
                <w:szCs w:val="21"/>
              </w:rPr>
              <w:t>QE6.2</w:t>
            </w:r>
          </w:p>
          <w:p>
            <w:pPr>
              <w:rPr>
                <w:rFonts w:ascii="宋体" w:hAnsi="宋体"/>
              </w:rPr>
            </w:pPr>
          </w:p>
        </w:tc>
        <w:tc>
          <w:tcPr>
            <w:tcW w:w="10004" w:type="dxa"/>
          </w:tcPr>
          <w:p>
            <w:pPr>
              <w:pStyle w:val="2"/>
              <w:rPr>
                <w:rFonts w:hint="eastAsia" w:ascii="宋体" w:hAnsi="宋体" w:eastAsia="宋体" w:cs="Times New Roman"/>
                <w:bCs w:val="0"/>
                <w:spacing w:val="0"/>
                <w:kern w:val="2"/>
                <w:sz w:val="21"/>
                <w:szCs w:val="21"/>
                <w:lang w:val="en-US" w:eastAsia="zh-CN" w:bidi="ar-SA"/>
              </w:rPr>
            </w:pPr>
            <w:bookmarkStart w:id="1" w:name="_GoBack"/>
            <w:r>
              <w:rPr>
                <w:rFonts w:hint="eastAsia" w:ascii="宋体" w:hAnsi="宋体" w:eastAsia="宋体" w:cs="Times New Roman"/>
                <w:bCs w:val="0"/>
                <w:spacing w:val="0"/>
                <w:kern w:val="2"/>
                <w:sz w:val="21"/>
                <w:szCs w:val="21"/>
                <w:lang w:val="en-US" w:eastAsia="zh-CN" w:bidi="ar-SA"/>
              </w:rPr>
              <w:t>1、培训计划完成率100%</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2、文件错发率控制在5%一下</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3、供方评定率100%</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4、供货及时率100%</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5、顾客满意度95%以上</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1、灭火器配置率100％</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2、固废100％分类进行处理</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3、无重大环境投诉</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4、火灾事故发生率为0。</w:t>
            </w:r>
          </w:p>
          <w:bookmarkEnd w:id="1"/>
          <w:p>
            <w:pPr>
              <w:pStyle w:val="18"/>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2020年3月至2020年9月目标完成情况： 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企业知识管理的方法、措施及效果</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Q7.1.6</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综合部负责公司知识管理的协调工作、无形资产的管理与管理以及公司所有制度文件和资料的管理和控制工作并对内、外部知识进行确定、维护、发放与管理。</w:t>
            </w:r>
          </w:p>
          <w:p>
            <w:pPr>
              <w:tabs>
                <w:tab w:val="left" w:pos="7380"/>
              </w:tabs>
              <w:rPr>
                <w:rFonts w:ascii="宋体" w:hAnsi="宋体"/>
                <w:szCs w:val="21"/>
              </w:rPr>
            </w:pPr>
            <w:r>
              <w:rPr>
                <w:rFonts w:hint="eastAsia" w:ascii="宋体" w:hAnsi="宋体"/>
                <w:szCs w:val="21"/>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Tahoma" w:hAnsi="Tahoma" w:cs="Tahoma"/>
                <w:szCs w:val="21"/>
              </w:rPr>
              <w:t>企业知识管理的方法、措施及效果</w:t>
            </w:r>
          </w:p>
        </w:tc>
        <w:tc>
          <w:tcPr>
            <w:tcW w:w="960" w:type="dxa"/>
          </w:tcPr>
          <w:p>
            <w:pPr>
              <w:tabs>
                <w:tab w:val="left" w:pos="7380"/>
              </w:tabs>
              <w:rPr>
                <w:rFonts w:ascii="宋体" w:hAnsi="宋体"/>
                <w:szCs w:val="21"/>
              </w:rPr>
            </w:pPr>
            <w:r>
              <w:rPr>
                <w:rFonts w:hint="eastAsia" w:ascii="宋体" w:hAnsi="宋体"/>
                <w:szCs w:val="21"/>
              </w:rPr>
              <w:t>QE7.5</w:t>
            </w:r>
          </w:p>
          <w:p>
            <w:pPr>
              <w:rPr>
                <w:rFonts w:ascii="宋体" w:hAnsi="宋体"/>
              </w:rPr>
            </w:pPr>
          </w:p>
        </w:tc>
        <w:tc>
          <w:tcPr>
            <w:tcW w:w="10004" w:type="dxa"/>
          </w:tcPr>
          <w:p>
            <w:pPr>
              <w:tabs>
                <w:tab w:val="left" w:pos="7380"/>
              </w:tabs>
              <w:rPr>
                <w:rFonts w:ascii="宋体" w:hAnsi="宋体"/>
                <w:szCs w:val="21"/>
              </w:rPr>
            </w:pPr>
            <w:r>
              <w:rPr>
                <w:rFonts w:hint="eastAsia" w:ascii="宋体" w:hAnsi="宋体"/>
                <w:szCs w:val="21"/>
              </w:rPr>
              <w:t>执行公司《成文信息控制程序》</w:t>
            </w:r>
          </w:p>
          <w:p>
            <w:pPr>
              <w:tabs>
                <w:tab w:val="left" w:pos="7380"/>
              </w:tabs>
              <w:rPr>
                <w:rFonts w:ascii="宋体" w:hAnsi="宋体"/>
                <w:szCs w:val="21"/>
              </w:rPr>
            </w:pPr>
            <w:r>
              <w:rPr>
                <w:rFonts w:hint="eastAsia" w:ascii="宋体" w:hAnsi="宋体"/>
                <w:szCs w:val="21"/>
              </w:rPr>
              <w:t>管理体系文件包括：管理手册、程序文件、作业文件、外来文件、各类记录等。已建立“受控文件清单”。</w:t>
            </w:r>
          </w:p>
          <w:p>
            <w:pPr>
              <w:tabs>
                <w:tab w:val="left" w:pos="7380"/>
              </w:tabs>
              <w:rPr>
                <w:rFonts w:ascii="宋体" w:hAnsi="宋体"/>
                <w:szCs w:val="21"/>
              </w:rPr>
            </w:pPr>
            <w:r>
              <w:rPr>
                <w:rFonts w:hint="eastAsia" w:ascii="宋体" w:hAnsi="宋体"/>
                <w:szCs w:val="21"/>
              </w:rPr>
              <w:t>查：公司《管理手册》、《程序文件》为依据ISO9001:2015、ISO14001:2015版标准编制发布实施。</w:t>
            </w:r>
          </w:p>
          <w:p>
            <w:pPr>
              <w:tabs>
                <w:tab w:val="left" w:pos="7380"/>
              </w:tabs>
              <w:rPr>
                <w:rFonts w:ascii="宋体" w:hAnsi="宋体"/>
                <w:szCs w:val="21"/>
              </w:rPr>
            </w:pPr>
            <w:r>
              <w:rPr>
                <w:rFonts w:hint="eastAsia" w:ascii="宋体" w:hAnsi="宋体"/>
                <w:szCs w:val="21"/>
              </w:rPr>
              <w:t>由管理者代表审核，总经理批准后发布。</w:t>
            </w:r>
          </w:p>
          <w:p>
            <w:pPr>
              <w:tabs>
                <w:tab w:val="left" w:pos="7380"/>
              </w:tabs>
              <w:rPr>
                <w:rFonts w:ascii="宋体" w:hAnsi="宋体"/>
                <w:szCs w:val="21"/>
              </w:rPr>
            </w:pPr>
            <w:r>
              <w:rPr>
                <w:rFonts w:hint="eastAsia" w:ascii="宋体" w:hAnsi="宋体"/>
                <w:szCs w:val="21"/>
              </w:rPr>
              <w:t>查：“文件发放记录”，内容涵盖：序号、名称、接收人、版本状态、</w:t>
            </w:r>
            <w:r>
              <w:rPr>
                <w:rFonts w:hint="eastAsia"/>
                <w:szCs w:val="21"/>
              </w:rPr>
              <w:t>日期</w:t>
            </w:r>
            <w:r>
              <w:rPr>
                <w:rFonts w:hint="eastAsia" w:ascii="宋体" w:hAnsi="宋体"/>
                <w:szCs w:val="21"/>
              </w:rPr>
              <w:t xml:space="preserve">等。 </w:t>
            </w:r>
          </w:p>
          <w:p>
            <w:pPr>
              <w:tabs>
                <w:tab w:val="left" w:pos="7380"/>
              </w:tabs>
              <w:rPr>
                <w:rFonts w:ascii="宋体" w:hAnsi="宋体"/>
                <w:szCs w:val="21"/>
              </w:rPr>
            </w:pPr>
            <w:r>
              <w:rPr>
                <w:rFonts w:hint="eastAsia" w:ascii="宋体" w:hAnsi="宋体"/>
                <w:szCs w:val="21"/>
              </w:rPr>
              <w:t>管理手册、程序文件、作业文件已发放各部门，有签收部门确认。</w:t>
            </w:r>
          </w:p>
          <w:p>
            <w:pPr>
              <w:tabs>
                <w:tab w:val="left" w:pos="7380"/>
              </w:tabs>
              <w:rPr>
                <w:rFonts w:ascii="宋体" w:hAnsi="宋体"/>
                <w:szCs w:val="21"/>
              </w:rPr>
            </w:pPr>
            <w:r>
              <w:rPr>
                <w:rFonts w:hint="eastAsia" w:ascii="宋体" w:hAnsi="宋体"/>
                <w:szCs w:val="21"/>
              </w:rPr>
              <w:t>规定对所有失效文件，从使用场所回收并填写《文件销毁申请单》经总经理批准后要加盖“作废”印章，统一销毁。</w:t>
            </w:r>
          </w:p>
          <w:p>
            <w:pPr>
              <w:tabs>
                <w:tab w:val="left" w:pos="7380"/>
              </w:tabs>
              <w:rPr>
                <w:rFonts w:ascii="宋体" w:hAnsi="宋体"/>
                <w:szCs w:val="21"/>
              </w:rPr>
            </w:pPr>
            <w:r>
              <w:rPr>
                <w:rFonts w:hint="eastAsia" w:ascii="宋体" w:hAnsi="宋体"/>
                <w:szCs w:val="21"/>
              </w:rPr>
              <w:t>文件更改采用局部修改、换页、换版等方式。</w:t>
            </w:r>
          </w:p>
          <w:p>
            <w:pPr>
              <w:tabs>
                <w:tab w:val="left" w:pos="7380"/>
              </w:tabs>
              <w:rPr>
                <w:rFonts w:ascii="宋体" w:hAnsi="宋体"/>
                <w:szCs w:val="21"/>
              </w:rPr>
            </w:pPr>
            <w:r>
              <w:rPr>
                <w:rFonts w:hint="eastAsia" w:ascii="宋体" w:hAnsi="宋体"/>
                <w:szCs w:val="21"/>
              </w:rPr>
              <w:t>查：有“外来文件清单”记录了《环境保护法》等外来文件，控制分发，有专人负责。</w:t>
            </w:r>
          </w:p>
          <w:p>
            <w:pPr>
              <w:tabs>
                <w:tab w:val="left" w:pos="7380"/>
              </w:tabs>
              <w:rPr>
                <w:rFonts w:ascii="宋体" w:hAnsi="宋体"/>
                <w:szCs w:val="21"/>
              </w:rPr>
            </w:pPr>
            <w:r>
              <w:rPr>
                <w:rFonts w:hint="eastAsia" w:ascii="宋体" w:hAnsi="宋体"/>
                <w:szCs w:val="21"/>
              </w:rPr>
              <w:t>已建立“记录清单”内容含盖：序号、记录名称、记录编号、保存期限。</w:t>
            </w:r>
          </w:p>
          <w:p>
            <w:pPr>
              <w:rPr>
                <w:rFonts w:ascii="宋体" w:hAnsi="宋体"/>
              </w:rPr>
            </w:pPr>
            <w:r>
              <w:rPr>
                <w:rFonts w:hint="eastAsia" w:ascii="宋体" w:hAnsi="宋体"/>
                <w:szCs w:val="21"/>
              </w:rPr>
              <w:t>现场查看，文件、记录保持清晰，保存完好。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环境因素识别</w:t>
            </w:r>
          </w:p>
        </w:tc>
        <w:tc>
          <w:tcPr>
            <w:tcW w:w="960" w:type="dxa"/>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提供了部门</w:t>
            </w:r>
            <w:r>
              <w:rPr>
                <w:rFonts w:hint="eastAsia"/>
                <w:szCs w:val="21"/>
              </w:rPr>
              <w:t>《环境因素评价表》</w:t>
            </w:r>
            <w:r>
              <w:rPr>
                <w:rFonts w:hint="eastAsia" w:ascii="宋体" w:hAnsi="宋体"/>
                <w:szCs w:val="21"/>
              </w:rPr>
              <w:t xml:space="preserve">和《重要环境因素清单》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w:t>
            </w:r>
            <w:r>
              <w:rPr>
                <w:rFonts w:hint="eastAsia"/>
                <w:szCs w:val="21"/>
              </w:rPr>
              <w:t>固体废弃物排放，火灾</w:t>
            </w:r>
          </w:p>
          <w:p>
            <w:r>
              <w:rPr>
                <w:rFonts w:hint="eastAsia" w:ascii="宋体" w:hAnsi="宋体"/>
                <w:szCs w:val="21"/>
              </w:rPr>
              <w:t>识别全面，评价准确。</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环境管理措施的策划</w:t>
            </w:r>
          </w:p>
          <w:p>
            <w:pPr>
              <w:rPr>
                <w:rFonts w:ascii="宋体" w:hAnsi="宋体"/>
                <w:szCs w:val="21"/>
              </w:rPr>
            </w:pPr>
          </w:p>
        </w:tc>
        <w:tc>
          <w:tcPr>
            <w:tcW w:w="960" w:type="dxa"/>
          </w:tcPr>
          <w:p>
            <w:pPr>
              <w:tabs>
                <w:tab w:val="left" w:pos="7380"/>
              </w:tabs>
              <w:jc w:val="center"/>
              <w:rPr>
                <w:rFonts w:ascii="宋体" w:hAnsi="宋体"/>
                <w:szCs w:val="21"/>
              </w:rPr>
            </w:pPr>
            <w:r>
              <w:rPr>
                <w:rFonts w:hint="eastAsia" w:ascii="宋体" w:hAnsi="宋体"/>
                <w:szCs w:val="21"/>
              </w:rPr>
              <w:t>E6.1.4</w:t>
            </w:r>
          </w:p>
          <w:p>
            <w:pPr>
              <w:rPr>
                <w:rFonts w:ascii="宋体" w:hAnsi="宋体"/>
                <w:szCs w:val="21"/>
              </w:rPr>
            </w:pPr>
          </w:p>
        </w:tc>
        <w:tc>
          <w:tcPr>
            <w:tcW w:w="10004" w:type="dxa"/>
          </w:tcPr>
          <w:p>
            <w:r>
              <w:rPr>
                <w:rFonts w:hint="eastAsia" w:ascii="宋体" w:hAnsi="宋体"/>
                <w:szCs w:val="21"/>
              </w:rPr>
              <w:t>策划的内容有主要有重要环境因素、合</w:t>
            </w:r>
            <w:r>
              <w:rPr>
                <w:rFonts w:hint="eastAsia"/>
                <w:szCs w:val="21"/>
              </w:rPr>
              <w:t>规义务、识别的风险和机遇等，当策划这些措施时，最高管理者考虑了可选技术方案、财务、运行和经营要求，从而确保环境管理体系的有效运行。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ind w:right="-164" w:rightChars="-78"/>
              <w:jc w:val="left"/>
              <w:rPr>
                <w:rFonts w:asciiTheme="minorEastAsia" w:hAnsiTheme="minorEastAsia" w:eastAsiaTheme="minorEastAsia"/>
                <w:szCs w:val="21"/>
              </w:rPr>
            </w:pPr>
            <w:r>
              <w:rPr>
                <w:rFonts w:hint="eastAsia" w:asciiTheme="minorEastAsia" w:hAnsiTheme="minorEastAsia" w:eastAsiaTheme="minorEastAsia"/>
                <w:szCs w:val="21"/>
              </w:rPr>
              <w:t>产品和服务要求的确定/评审</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顾客沟通</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Q8</w:t>
            </w:r>
            <w:r>
              <w:rPr>
                <w:rFonts w:asciiTheme="minorEastAsia" w:hAnsiTheme="minorEastAsia" w:eastAsiaTheme="minorEastAsia"/>
                <w:szCs w:val="21"/>
              </w:rPr>
              <w:t>.2.</w:t>
            </w:r>
            <w:r>
              <w:rPr>
                <w:rFonts w:hint="eastAsia" w:asciiTheme="minorEastAsia" w:hAnsiTheme="minorEastAsia" w:eastAsiaTheme="minorEastAsia"/>
                <w:szCs w:val="21"/>
              </w:rPr>
              <w:t>1-</w:t>
            </w:r>
          </w:p>
          <w:p>
            <w:pPr>
              <w:spacing w:line="276" w:lineRule="auto"/>
              <w:ind w:firstLine="105" w:firstLineChars="50"/>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.2.</w:t>
            </w:r>
            <w:r>
              <w:rPr>
                <w:rFonts w:hint="eastAsia" w:asciiTheme="minorEastAsia" w:hAnsiTheme="minorEastAsia" w:eastAsiaTheme="minorEastAsia"/>
                <w:szCs w:val="21"/>
              </w:rPr>
              <w:t>3</w:t>
            </w:r>
          </w:p>
          <w:p>
            <w:pPr>
              <w:spacing w:line="276" w:lineRule="auto"/>
              <w:rPr>
                <w:rFonts w:asciiTheme="minorEastAsia" w:hAnsiTheme="minorEastAsia" w:eastAsiaTheme="minorEastAsia" w:cstheme="minorEastAsia"/>
                <w:szCs w:val="21"/>
              </w:rPr>
            </w:pPr>
          </w:p>
        </w:tc>
        <w:tc>
          <w:tcPr>
            <w:tcW w:w="10004" w:type="dxa"/>
            <w:vAlign w:val="center"/>
          </w:tcPr>
          <w:p>
            <w:pPr>
              <w:autoSpaceDE w:val="0"/>
              <w:spacing w:line="276" w:lineRule="auto"/>
              <w:ind w:right="-105" w:rightChars="-50"/>
              <w:rPr>
                <w:rFonts w:asciiTheme="minorEastAsia" w:hAnsiTheme="minorEastAsia" w:eastAsiaTheme="minorEastAsia"/>
                <w:szCs w:val="21"/>
              </w:rPr>
            </w:pPr>
            <w:r>
              <w:rPr>
                <w:rFonts w:hint="eastAsia" w:asciiTheme="minorEastAsia" w:hAnsiTheme="minorEastAsia" w:eastAsiaTheme="minorEastAsia"/>
                <w:szCs w:val="21"/>
              </w:rPr>
              <w:t>与产品有关要求的确认内容主要包括明确的要求，如项目名称、项目内容、交付期、价格、结算方式等；顾客隐含的要求，顾客虽没有明示，但规定用途或已知预期用途所必须的要求；相关的法律法规要求,如产品质量法、招投标法等；企业规定的附加要求，如价格及付款方式、交付时间和让步承诺等,顾客要求主要通过销售合同的形式体现。</w:t>
            </w:r>
          </w:p>
          <w:p>
            <w:pPr>
              <w:autoSpaceDE w:val="0"/>
              <w:spacing w:line="276" w:lineRule="auto"/>
              <w:ind w:right="-105" w:rightChars="-50"/>
              <w:rPr>
                <w:rFonts w:asciiTheme="minorEastAsia" w:hAnsiTheme="minorEastAsia" w:eastAsiaTheme="minorEastAsia"/>
                <w:szCs w:val="21"/>
              </w:rPr>
            </w:pPr>
          </w:p>
          <w:p>
            <w:pPr>
              <w:spacing w:line="276" w:lineRule="auto"/>
              <w:ind w:right="-107" w:rightChars="-51"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综合部有建立售前、售中、售后过程顾客的沟通和联络渠道，及时了解了解相关信息，合同签订前充分了解顾客的需求；合同实施过程中沟通和反馈服务质量、项目交付等问题，与客户保持密切沟通，听取客户反馈的意见和信息，并对顾客反馈问题做出回复和处理，合同完成后，严格履行合同各项售后服务要求。顾客反馈的一般性问题，由销售人员负责解决，不能解决的重大问题，要求项目部及时采取相应的应对措施，并及时报领导进行处理。体系建立实施后，尚未发生严重顾客投诉。</w:t>
            </w:r>
          </w:p>
          <w:p>
            <w:pPr>
              <w:autoSpaceDE w:val="0"/>
              <w:spacing w:line="276" w:lineRule="auto"/>
              <w:ind w:right="-105" w:rightChars="-50" w:firstLine="315" w:firstLineChars="150"/>
              <w:rPr>
                <w:rFonts w:asciiTheme="minorEastAsia" w:hAnsiTheme="minorEastAsia" w:eastAsiaTheme="minorEastAsia"/>
                <w:szCs w:val="21"/>
              </w:rPr>
            </w:pPr>
          </w:p>
          <w:p>
            <w:pPr>
              <w:spacing w:line="276" w:lineRule="auto"/>
              <w:ind w:right="-21" w:rightChars="-10" w:firstLine="315" w:firstLineChars="150"/>
              <w:rPr>
                <w:rFonts w:cs="宋体" w:asciiTheme="minorEastAsia" w:hAnsiTheme="minorEastAsia" w:eastAsiaTheme="minorEastAsia"/>
                <w:szCs w:val="21"/>
              </w:rPr>
            </w:pPr>
            <w:r>
              <w:rPr>
                <w:rFonts w:hint="eastAsia" w:asciiTheme="minorEastAsia" w:hAnsiTheme="minorEastAsia" w:eastAsiaTheme="minorEastAsia"/>
                <w:szCs w:val="21"/>
              </w:rPr>
              <w:t>企业销售合同主要通过招投标、客户介绍等，查见“合同登记表”。</w:t>
            </w:r>
            <w:r>
              <w:rPr>
                <w:rFonts w:hint="eastAsia" w:cs="宋体" w:asciiTheme="minorEastAsia" w:hAnsiTheme="minorEastAsia" w:eastAsiaTheme="minorEastAsia"/>
                <w:szCs w:val="21"/>
              </w:rPr>
              <w:t>综合部负责人介绍，销售合同均为书面的文本形式，一般性的常规合同由项目部相应授权人对意向合同通过签字确认的方式即完成合同，价格、账期、售后年限异常时需报经总经理审批外，其他普通合同业务员自行处理。业务员自行确定：设计周期、价格等是否符合公司要求。</w:t>
            </w:r>
          </w:p>
          <w:p>
            <w:pPr>
              <w:spacing w:line="276" w:lineRule="auto"/>
              <w:ind w:right="-21" w:rightChars="-10" w:firstLine="315" w:firstLineChars="150"/>
              <w:rPr>
                <w:rFonts w:asciiTheme="minorEastAsia" w:hAnsiTheme="minorEastAsia" w:eastAsiaTheme="minorEastAsia"/>
                <w:szCs w:val="21"/>
              </w:rPr>
            </w:pPr>
          </w:p>
          <w:p>
            <w:pPr>
              <w:spacing w:line="276" w:lineRule="auto"/>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szCs w:val="21"/>
              </w:rPr>
              <w:t>抽合同</w:t>
            </w:r>
            <w:r>
              <w:rPr>
                <w:rFonts w:hint="eastAsia" w:cs="宋体" w:asciiTheme="minorEastAsia" w:hAnsiTheme="minorEastAsia" w:eastAsiaTheme="minorEastAsia"/>
                <w:color w:val="000000" w:themeColor="text1"/>
                <w:szCs w:val="21"/>
              </w:rPr>
              <w:t>，均保存完好，符合要求。上述合同均按期履行。</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产品和服务要求的更改</w:t>
            </w:r>
          </w:p>
          <w:p>
            <w:pPr>
              <w:spacing w:line="276" w:lineRule="auto"/>
              <w:rPr>
                <w:rFonts w:asciiTheme="minorEastAsia" w:hAnsiTheme="minorEastAsia" w:eastAsiaTheme="minorEastAsia" w:cstheme="minorEastAsia"/>
                <w:color w:val="000000"/>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Q8</w:t>
            </w:r>
            <w:r>
              <w:rPr>
                <w:rFonts w:asciiTheme="minorEastAsia" w:hAnsiTheme="minorEastAsia" w:eastAsiaTheme="minorEastAsia"/>
                <w:szCs w:val="21"/>
              </w:rPr>
              <w:t>.2.</w:t>
            </w:r>
            <w:r>
              <w:rPr>
                <w:rFonts w:hint="eastAsia" w:asciiTheme="minorEastAsia" w:hAnsiTheme="minorEastAsia" w:eastAsiaTheme="minorEastAsia"/>
                <w:szCs w:val="21"/>
              </w:rPr>
              <w:t>4</w:t>
            </w:r>
          </w:p>
          <w:p>
            <w:pPr>
              <w:spacing w:line="276" w:lineRule="auto"/>
              <w:rPr>
                <w:rFonts w:asciiTheme="minorEastAsia" w:hAnsiTheme="minorEastAsia" w:eastAsiaTheme="minorEastAsia" w:cstheme="minorEastAsia"/>
                <w:szCs w:val="21"/>
              </w:rPr>
            </w:pPr>
          </w:p>
        </w:tc>
        <w:tc>
          <w:tcPr>
            <w:tcW w:w="10004" w:type="dxa"/>
            <w:vAlign w:val="center"/>
          </w:tcPr>
          <w:p>
            <w:pPr>
              <w:spacing w:line="276" w:lineRule="auto"/>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企业有建立合同/订单的更改的流程，合同/订单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szCs w:val="21"/>
              </w:rPr>
              <w:t>外部提供过程、产品和服务过程管理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企业采购主要为办公用品采购，合格供方主要为京东、淘宝等网上商店。</w:t>
            </w:r>
            <w:r>
              <w:rPr>
                <w:szCs w:val="21"/>
              </w:rPr>
              <w:t xml:space="preserve"> </w:t>
            </w:r>
          </w:p>
          <w:p>
            <w:pPr>
              <w:rPr>
                <w:szCs w:val="21"/>
              </w:rPr>
            </w:pPr>
            <w:r>
              <w:rPr>
                <w:rFonts w:hint="eastAsia"/>
                <w:szCs w:val="21"/>
              </w:rPr>
              <w:t>查见上述供方调查评价内容包括：供方资质、样品检验等，评定结论等，可以列为合格供应商.</w:t>
            </w:r>
            <w:r>
              <w:rPr>
                <w:szCs w:val="21"/>
              </w:rPr>
              <w:t xml:space="preserve"> </w:t>
            </w:r>
          </w:p>
          <w:p>
            <w:pPr>
              <w:rPr>
                <w:szCs w:val="21"/>
              </w:rPr>
            </w:pPr>
            <w:r>
              <w:rPr>
                <w:rFonts w:hint="eastAsia"/>
                <w:szCs w:val="21"/>
              </w:rPr>
              <w:t xml:space="preserve">  批准人：熊洁</w:t>
            </w:r>
            <w:r>
              <w:rPr>
                <w:rFonts w:hint="eastAsia"/>
                <w:sz w:val="24"/>
              </w:rPr>
              <w:t>2020年3月10日</w:t>
            </w:r>
          </w:p>
          <w:p>
            <w:pPr>
              <w:rPr>
                <w:szCs w:val="21"/>
              </w:rPr>
            </w:pPr>
          </w:p>
          <w:p>
            <w:pPr>
              <w:rPr>
                <w:szCs w:val="21"/>
              </w:rPr>
            </w:pPr>
            <w:r>
              <w:rPr>
                <w:rFonts w:hint="eastAsia"/>
                <w:szCs w:val="21"/>
              </w:rPr>
              <w:t>抽采购单、采购检验无记录，均为办公用品，验收人员按订单核对产品数量、型号、外观、功能，有问题找平台退换货。</w:t>
            </w:r>
          </w:p>
          <w:p>
            <w:pPr>
              <w:rPr>
                <w:rFonts w:asciiTheme="minorEastAsia" w:hAnsiTheme="minorEastAsia" w:eastAsiaTheme="minorEastAsia" w:cstheme="minorEastAsia"/>
                <w:szCs w:val="21"/>
              </w:rPr>
            </w:pPr>
            <w:r>
              <w:rPr>
                <w:rFonts w:hint="eastAsia"/>
                <w:szCs w:val="21"/>
              </w:rPr>
              <w:t>采购过程受控。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顾客满意</w:t>
            </w:r>
          </w:p>
          <w:p>
            <w:pPr>
              <w:spacing w:line="276" w:lineRule="auto"/>
              <w:ind w:right="-164" w:rightChars="-78"/>
              <w:jc w:val="left"/>
              <w:rPr>
                <w:rFonts w:asciiTheme="minorEastAsia" w:hAnsiTheme="minorEastAsia" w:eastAsiaTheme="minorEastAsia"/>
                <w:szCs w:val="21"/>
              </w:rPr>
            </w:pPr>
          </w:p>
        </w:tc>
        <w:tc>
          <w:tcPr>
            <w:tcW w:w="960"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Q </w:t>
            </w:r>
            <w:r>
              <w:rPr>
                <w:rFonts w:asciiTheme="minorEastAsia" w:hAnsiTheme="minorEastAsia" w:eastAsiaTheme="minorEastAsia"/>
                <w:szCs w:val="21"/>
              </w:rPr>
              <w:t>9.1.2</w:t>
            </w:r>
          </w:p>
          <w:p>
            <w:pPr>
              <w:spacing w:line="276" w:lineRule="auto"/>
              <w:jc w:val="left"/>
              <w:rPr>
                <w:rFonts w:asciiTheme="minorEastAsia" w:hAnsiTheme="minorEastAsia" w:eastAsiaTheme="minorEastAsia"/>
                <w:szCs w:val="21"/>
              </w:rPr>
            </w:pPr>
          </w:p>
        </w:tc>
        <w:tc>
          <w:tcPr>
            <w:tcW w:w="10004" w:type="dxa"/>
            <w:vAlign w:val="center"/>
          </w:tcPr>
          <w:p>
            <w:pPr>
              <w:spacing w:line="276" w:lineRule="auto"/>
              <w:ind w:right="-107" w:rightChars="-51"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部主要通过不定期接受顾客信息反馈和定期发放“顾客满意度调查表”等收集顾客满意的相关信息。项目部于2019年12月实施了一次顾客满意度工作，查见“顾客满意度调查表”，调查项目包括：服务质量、价格、交付期、售后服务，报告统计结果综合满意率为98，达到了质量目标要求。顾客满意度调查结果有提交本年度的管理评审。</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合规义务</w:t>
            </w:r>
          </w:p>
          <w:p>
            <w:pPr>
              <w:tabs>
                <w:tab w:val="left" w:pos="7380"/>
              </w:tabs>
              <w:rPr>
                <w:rFonts w:ascii="宋体" w:hAnsi="宋体"/>
                <w:szCs w:val="21"/>
              </w:rPr>
            </w:pPr>
            <w:r>
              <w:rPr>
                <w:rFonts w:hint="eastAsia" w:ascii="宋体" w:hAnsi="宋体"/>
                <w:szCs w:val="21"/>
              </w:rPr>
              <w:t>合规性评价</w:t>
            </w:r>
          </w:p>
          <w:p>
            <w:pPr>
              <w:rPr>
                <w:rFonts w:ascii="宋体" w:hAnsi="宋体"/>
                <w:szCs w:val="21"/>
              </w:rPr>
            </w:pPr>
          </w:p>
        </w:tc>
        <w:tc>
          <w:tcPr>
            <w:tcW w:w="960" w:type="dxa"/>
          </w:tcPr>
          <w:p>
            <w:pPr>
              <w:rPr>
                <w:rFonts w:ascii="宋体" w:hAnsi="宋体"/>
                <w:szCs w:val="21"/>
              </w:rPr>
            </w:pPr>
            <w:r>
              <w:rPr>
                <w:rFonts w:hint="eastAsia" w:ascii="宋体" w:hAnsi="宋体"/>
                <w:szCs w:val="21"/>
              </w:rPr>
              <w:t>E6.1.3</w:t>
            </w:r>
          </w:p>
          <w:p>
            <w:pPr>
              <w:rPr>
                <w:rFonts w:ascii="宋体" w:hAnsi="宋体"/>
                <w:szCs w:val="21"/>
              </w:rPr>
            </w:pPr>
            <w:r>
              <w:rPr>
                <w:rFonts w:hint="eastAsia" w:ascii="宋体" w:hAnsi="宋体"/>
                <w:szCs w:val="21"/>
              </w:rPr>
              <w:t>E9.1.2</w:t>
            </w:r>
          </w:p>
        </w:tc>
        <w:tc>
          <w:tcPr>
            <w:tcW w:w="10004" w:type="dxa"/>
          </w:tcPr>
          <w:p>
            <w:pPr>
              <w:pStyle w:val="18"/>
              <w:jc w:val="both"/>
              <w:rPr>
                <w:sz w:val="21"/>
                <w:szCs w:val="21"/>
              </w:rPr>
            </w:pPr>
            <w:r>
              <w:rPr>
                <w:rFonts w:hint="eastAsia" w:ascii="宋体" w:hAnsi="宋体"/>
                <w:sz w:val="21"/>
                <w:szCs w:val="21"/>
              </w:rPr>
              <w:t>公</w:t>
            </w:r>
            <w:r>
              <w:rPr>
                <w:rFonts w:hint="eastAsia"/>
                <w:sz w:val="21"/>
                <w:szCs w:val="21"/>
              </w:rPr>
              <w:t>司建立并保持《法律法规和其它要求控制程序》，以获取并评价相关环境法律法规和其他要求，确认其适用性并跟踪其变化，以便及时更新。</w:t>
            </w:r>
          </w:p>
          <w:p>
            <w:pPr>
              <w:pStyle w:val="18"/>
              <w:jc w:val="both"/>
              <w:rPr>
                <w:sz w:val="21"/>
                <w:szCs w:val="21"/>
              </w:rPr>
            </w:pPr>
            <w:r>
              <w:rPr>
                <w:rFonts w:hint="eastAsia"/>
                <w:sz w:val="21"/>
                <w:szCs w:val="21"/>
              </w:rPr>
              <w:t>明确了法律、法规及其他要求查询途径（上级文件、地方法规、网上下载、社会信息等）、确认分发的部门、人员及合规性评价的方式方法、步骤等要求。</w:t>
            </w:r>
            <w:r>
              <w:rPr>
                <w:sz w:val="21"/>
                <w:szCs w:val="21"/>
              </w:rPr>
              <w:t xml:space="preserve"> </w:t>
            </w:r>
          </w:p>
          <w:p>
            <w:pPr>
              <w:pStyle w:val="18"/>
              <w:jc w:val="both"/>
              <w:rPr>
                <w:sz w:val="21"/>
                <w:szCs w:val="21"/>
              </w:rPr>
            </w:pPr>
            <w:r>
              <w:rPr>
                <w:rFonts w:hint="eastAsia"/>
                <w:sz w:val="21"/>
                <w:szCs w:val="21"/>
              </w:rPr>
              <w:t>提供了《环境法律法规清单》。内容包括：国家、地方法律法规名称、颁发部门、实施日期、获取来源等内容。</w:t>
            </w:r>
            <w:r>
              <w:rPr>
                <w:sz w:val="21"/>
                <w:szCs w:val="21"/>
              </w:rPr>
              <w:t xml:space="preserve"> </w:t>
            </w:r>
          </w:p>
          <w:p>
            <w:pPr>
              <w:pStyle w:val="18"/>
              <w:jc w:val="both"/>
              <w:rPr>
                <w:sz w:val="21"/>
                <w:szCs w:val="21"/>
              </w:rPr>
            </w:pPr>
          </w:p>
          <w:p>
            <w:pPr>
              <w:tabs>
                <w:tab w:val="left" w:pos="7380"/>
              </w:tabs>
              <w:rPr>
                <w:rFonts w:ascii="宋体" w:hAnsi="宋体"/>
                <w:szCs w:val="21"/>
              </w:rPr>
            </w:pPr>
            <w:r>
              <w:rPr>
                <w:rFonts w:hint="eastAsia" w:ascii="宋体" w:hAnsi="宋体"/>
                <w:szCs w:val="21"/>
              </w:rPr>
              <w:t>经查看制定适用于组织活动、产品和服务中环境因素的法律法规和其它要求的获取渠道，并规定了有关法律法规和其它要求的应用要求。</w:t>
            </w:r>
          </w:p>
          <w:p>
            <w:pPr>
              <w:pStyle w:val="18"/>
              <w:jc w:val="both"/>
              <w:rPr>
                <w:rFonts w:ascii="宋体" w:hAnsi="宋体"/>
                <w:color w:val="auto"/>
                <w:kern w:val="2"/>
                <w:sz w:val="21"/>
                <w:szCs w:val="21"/>
              </w:rPr>
            </w:pPr>
          </w:p>
          <w:p>
            <w:pPr>
              <w:pStyle w:val="18"/>
              <w:jc w:val="both"/>
              <w:rPr>
                <w:rFonts w:ascii="宋体" w:hAnsi="宋体"/>
                <w:color w:val="auto"/>
                <w:kern w:val="2"/>
                <w:sz w:val="21"/>
                <w:szCs w:val="21"/>
              </w:rPr>
            </w:pPr>
            <w:r>
              <w:rPr>
                <w:rFonts w:hint="eastAsia" w:ascii="宋体" w:hAnsi="宋体"/>
                <w:color w:val="auto"/>
                <w:kern w:val="2"/>
                <w:sz w:val="21"/>
                <w:szCs w:val="21"/>
              </w:rPr>
              <w:t>提供了《合规性评价报告》</w:t>
            </w:r>
          </w:p>
          <w:p>
            <w:pPr>
              <w:pStyle w:val="18"/>
              <w:jc w:val="both"/>
              <w:rPr>
                <w:rFonts w:ascii="宋体" w:hAnsi="宋体"/>
                <w:color w:val="auto"/>
                <w:kern w:val="2"/>
                <w:sz w:val="21"/>
                <w:szCs w:val="21"/>
              </w:rPr>
            </w:pPr>
            <w:r>
              <w:rPr>
                <w:rFonts w:hint="eastAsia" w:ascii="宋体" w:hAnsi="宋体"/>
                <w:color w:val="auto"/>
                <w:kern w:val="2"/>
                <w:sz w:val="21"/>
                <w:szCs w:val="21"/>
              </w:rPr>
              <w:t>法规符合性审查人员: 日期：2020.3.10</w:t>
            </w:r>
          </w:p>
          <w:p>
            <w:pPr>
              <w:pStyle w:val="18"/>
              <w:rPr>
                <w:rFonts w:ascii="宋体" w:hAnsi="宋体"/>
                <w:color w:val="auto"/>
                <w:kern w:val="2"/>
                <w:sz w:val="21"/>
                <w:szCs w:val="21"/>
              </w:rPr>
            </w:pPr>
            <w:r>
              <w:rPr>
                <w:rFonts w:hint="eastAsia" w:ascii="宋体" w:hAnsi="宋体"/>
                <w:color w:val="auto"/>
                <w:kern w:val="2"/>
                <w:sz w:val="21"/>
                <w:szCs w:val="21"/>
              </w:rPr>
              <w:t>对中华人民共和国环境保护法、中华人民共和国固体废物污染环境防治法、中华人民共和国大气污染防治法、北京市环境噪声污染防治办法、北京市节约能源条例、北京市城市节约用水条例、北京市水污染防治条例、北京市消防条例、北京市大气污染防治条例、北京市生活垃圾管理条例等法律法规进行了评价，评价结论均为“合规”。</w:t>
            </w:r>
          </w:p>
          <w:p>
            <w:r>
              <w:rPr>
                <w:rFonts w:hint="eastAsia"/>
                <w:szCs w:val="21"/>
              </w:rPr>
              <w:t>策划的内容有主要有重要环境因素、合规义务、识别的风险和机遇等，</w:t>
            </w:r>
            <w:r>
              <w:rPr>
                <w:szCs w:val="21"/>
              </w:rPr>
              <w:t xml:space="preserve"> </w:t>
            </w:r>
            <w:r>
              <w:rPr>
                <w:rFonts w:hint="eastAsia"/>
                <w:szCs w:val="21"/>
              </w:rPr>
              <w:t>当策划这些措施时，最高管理者考虑了可选技术方案、财务、运行和经营要求，从而确保管理体系的有效运行。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rPr>
            </w:pPr>
            <w:r>
              <w:rPr>
                <w:rFonts w:hint="eastAsia" w:ascii="宋体" w:hAnsi="宋体"/>
                <w:szCs w:val="21"/>
              </w:rPr>
              <w:t>环境运行策划和控制</w:t>
            </w:r>
          </w:p>
        </w:tc>
        <w:tc>
          <w:tcPr>
            <w:tcW w:w="960" w:type="dxa"/>
          </w:tcPr>
          <w:p>
            <w:pPr>
              <w:tabs>
                <w:tab w:val="left" w:pos="7380"/>
              </w:tabs>
              <w:rPr>
                <w:rFonts w:ascii="宋体" w:hAnsi="宋体"/>
                <w:szCs w:val="21"/>
              </w:rPr>
            </w:pPr>
            <w:r>
              <w:rPr>
                <w:rFonts w:hint="eastAsia" w:ascii="宋体" w:hAnsi="宋体"/>
                <w:szCs w:val="21"/>
              </w:rPr>
              <w:t>E:8.1</w:t>
            </w:r>
          </w:p>
          <w:p>
            <w:pPr>
              <w:tabs>
                <w:tab w:val="left" w:pos="7380"/>
              </w:tabs>
              <w:rPr>
                <w:rFonts w:ascii="宋体" w:hAnsi="宋体"/>
                <w:b/>
                <w:szCs w:val="21"/>
              </w:rPr>
            </w:pPr>
          </w:p>
        </w:tc>
        <w:tc>
          <w:tcPr>
            <w:tcW w:w="10004" w:type="dxa"/>
          </w:tcPr>
          <w:p>
            <w:pPr>
              <w:spacing w:line="360" w:lineRule="exact"/>
              <w:jc w:val="left"/>
              <w:rPr>
                <w:rFonts w:ascii="宋体" w:hAnsi="宋体"/>
                <w:szCs w:val="21"/>
              </w:rPr>
            </w:pPr>
            <w:r>
              <w:rPr>
                <w:rFonts w:hint="eastAsia" w:ascii="宋体" w:hAnsi="宋体"/>
                <w:szCs w:val="21"/>
              </w:rPr>
              <w:t>识别的环境因素因素运行控制情况如下：</w:t>
            </w:r>
          </w:p>
          <w:p>
            <w:pPr>
              <w:spacing w:line="360" w:lineRule="exact"/>
              <w:ind w:firstLine="210" w:firstLineChars="100"/>
              <w:rPr>
                <w:rFonts w:ascii="宋体" w:hAnsi="宋体"/>
                <w:szCs w:val="21"/>
              </w:rPr>
            </w:pPr>
            <w:r>
              <w:rPr>
                <w:rFonts w:hint="eastAsia" w:ascii="宋体" w:hAnsi="宋体"/>
                <w:szCs w:val="21"/>
              </w:rPr>
              <w:t>1、办公生活污水控制：生活污水排市政管网。</w:t>
            </w:r>
          </w:p>
          <w:p>
            <w:pPr>
              <w:spacing w:line="360" w:lineRule="exact"/>
              <w:ind w:right="13" w:rightChars="6" w:firstLine="210" w:firstLineChars="100"/>
              <w:rPr>
                <w:rFonts w:ascii="宋体" w:hAnsi="宋体"/>
                <w:szCs w:val="21"/>
              </w:rPr>
            </w:pPr>
            <w:r>
              <w:rPr>
                <w:rFonts w:hint="eastAsia" w:ascii="宋体" w:hAnsi="宋体"/>
                <w:szCs w:val="21"/>
              </w:rPr>
              <w:t>2、噪声控制：噪声主要为设备噪声，采购底噪音设备。</w:t>
            </w:r>
          </w:p>
          <w:p>
            <w:pPr>
              <w:spacing w:line="360" w:lineRule="exact"/>
              <w:ind w:right="13" w:rightChars="6" w:firstLine="210" w:firstLineChars="100"/>
              <w:rPr>
                <w:rFonts w:ascii="宋体" w:hAnsi="宋体"/>
                <w:szCs w:val="21"/>
              </w:rPr>
            </w:pPr>
            <w:r>
              <w:rPr>
                <w:rFonts w:hint="eastAsia" w:ascii="宋体" w:hAnsi="宋体"/>
                <w:szCs w:val="21"/>
              </w:rPr>
              <w:t>3、固废控制：综合部有对办公产生的固体废弃物分类处理，按“可回收”和“不可回收”（如废硒鼓、灯管等），可回收放入“可回收”区，由综合部定期统一处理，生活垃圾统一集中到指定垃圾桶内。符合要求。无危废。</w:t>
            </w:r>
          </w:p>
          <w:p>
            <w:pPr>
              <w:tabs>
                <w:tab w:val="left" w:pos="7380"/>
              </w:tabs>
              <w:rPr>
                <w:rFonts w:ascii="宋体" w:hAnsi="宋体"/>
                <w:szCs w:val="21"/>
              </w:rPr>
            </w:pPr>
            <w:r>
              <w:rPr>
                <w:rFonts w:hint="eastAsia" w:ascii="宋体" w:hAnsi="宋体"/>
                <w:szCs w:val="21"/>
              </w:rPr>
              <w:t xml:space="preserve">固体废弃物处理记录 </w:t>
            </w:r>
          </w:p>
          <w:p>
            <w:r>
              <w:rPr>
                <w:rFonts w:hint="eastAsia"/>
              </w:rPr>
              <w:t>3.25</w:t>
            </w:r>
            <w:r>
              <w:rPr>
                <w:rFonts w:hint="eastAsia"/>
              </w:rPr>
              <w:tab/>
            </w:r>
            <w:r>
              <w:rPr>
                <w:rFonts w:hint="eastAsia"/>
              </w:rPr>
              <w:t>固体墨盒</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4.05</w:t>
            </w:r>
            <w:r>
              <w:rPr>
                <w:rFonts w:hint="eastAsia"/>
              </w:rPr>
              <w:tab/>
            </w:r>
            <w:r>
              <w:rPr>
                <w:rFonts w:hint="eastAsia"/>
              </w:rPr>
              <w:t>废电池</w:t>
            </w:r>
            <w:r>
              <w:rPr>
                <w:rFonts w:hint="eastAsia"/>
              </w:rPr>
              <w:tab/>
            </w:r>
            <w:r>
              <w:rPr>
                <w:rFonts w:hint="eastAsia"/>
              </w:rPr>
              <w:t>5</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5.25</w:t>
            </w:r>
            <w:r>
              <w:rPr>
                <w:rFonts w:hint="eastAsia"/>
              </w:rPr>
              <w:tab/>
            </w:r>
            <w:r>
              <w:rPr>
                <w:rFonts w:hint="eastAsia"/>
              </w:rPr>
              <w:t>废旧灯管</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6.10</w:t>
            </w:r>
            <w:r>
              <w:rPr>
                <w:rFonts w:hint="eastAsia"/>
              </w:rPr>
              <w:tab/>
            </w:r>
            <w:r>
              <w:rPr>
                <w:rFonts w:hint="eastAsia"/>
              </w:rPr>
              <w:t>废电脑显示屏</w:t>
            </w:r>
            <w:r>
              <w:rPr>
                <w:rFonts w:hint="eastAsia"/>
              </w:rPr>
              <w:tab/>
            </w:r>
            <w:r>
              <w:rPr>
                <w:rFonts w:hint="eastAsia"/>
              </w:rPr>
              <w:t>2</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r>
              <w:rPr>
                <w:rFonts w:hint="eastAsia"/>
              </w:rPr>
              <w:t>7.25</w:t>
            </w:r>
            <w:r>
              <w:rPr>
                <w:rFonts w:hint="eastAsia"/>
              </w:rPr>
              <w:tab/>
            </w:r>
            <w:r>
              <w:rPr>
                <w:rFonts w:hint="eastAsia"/>
              </w:rPr>
              <w:t>废硒鼓</w:t>
            </w:r>
            <w:r>
              <w:rPr>
                <w:rFonts w:hint="eastAsia"/>
              </w:rPr>
              <w:tab/>
            </w:r>
            <w:r>
              <w:rPr>
                <w:rFonts w:hint="eastAsia"/>
              </w:rPr>
              <w:t>4</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pPr>
              <w:rPr>
                <w:rFonts w:ascii="宋体" w:hAnsi="宋体"/>
                <w:szCs w:val="21"/>
              </w:rPr>
            </w:pPr>
            <w:r>
              <w:rPr>
                <w:rFonts w:hint="eastAsia"/>
              </w:rPr>
              <w:t>8.10</w:t>
            </w:r>
            <w:r>
              <w:rPr>
                <w:rFonts w:hint="eastAsia"/>
              </w:rPr>
              <w:tab/>
            </w:r>
            <w:r>
              <w:rPr>
                <w:rFonts w:hint="eastAsia"/>
              </w:rPr>
              <w:t>废拖布</w:t>
            </w:r>
            <w:r>
              <w:rPr>
                <w:rFonts w:hint="eastAsia"/>
              </w:rPr>
              <w:tab/>
            </w:r>
            <w:r>
              <w:rPr>
                <w:rFonts w:hint="eastAsia"/>
              </w:rPr>
              <w:t>3</w:t>
            </w:r>
            <w:r>
              <w:rPr>
                <w:rFonts w:hint="eastAsia"/>
              </w:rPr>
              <w:tab/>
            </w:r>
            <w:r>
              <w:rPr>
                <w:rFonts w:hint="eastAsia"/>
              </w:rPr>
              <w:t>交环卫</w:t>
            </w:r>
            <w:r>
              <w:rPr>
                <w:rFonts w:hint="eastAsia"/>
              </w:rPr>
              <w:tab/>
            </w:r>
            <w:r>
              <w:rPr>
                <w:rFonts w:hint="eastAsia"/>
              </w:rPr>
              <w:t>环卫处理</w:t>
            </w:r>
            <w:r>
              <w:rPr>
                <w:rFonts w:hint="eastAsia"/>
              </w:rPr>
              <w:tab/>
            </w:r>
            <w:r>
              <w:rPr>
                <w:rFonts w:hint="eastAsia"/>
              </w:rPr>
              <w:t>李欣然</w:t>
            </w:r>
          </w:p>
          <w:p>
            <w:pPr>
              <w:spacing w:line="360" w:lineRule="exact"/>
              <w:ind w:right="13" w:rightChars="6" w:firstLine="210" w:firstLineChars="100"/>
              <w:rPr>
                <w:rFonts w:ascii="宋体" w:hAnsi="宋体"/>
                <w:szCs w:val="21"/>
              </w:rPr>
            </w:pPr>
          </w:p>
          <w:p>
            <w:pPr>
              <w:spacing w:line="360" w:lineRule="exact"/>
              <w:ind w:right="13" w:rightChars="6" w:firstLine="210" w:firstLineChars="100"/>
              <w:rPr>
                <w:rFonts w:ascii="宋体" w:hAnsi="宋体"/>
                <w:szCs w:val="21"/>
              </w:rPr>
            </w:pPr>
            <w:r>
              <w:rPr>
                <w:rFonts w:hint="eastAsia" w:ascii="宋体" w:hAnsi="宋体"/>
                <w:szCs w:val="21"/>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spacing w:line="360" w:lineRule="exact"/>
              <w:ind w:right="13" w:rightChars="6" w:firstLine="210" w:firstLineChars="100"/>
              <w:rPr>
                <w:rFonts w:ascii="宋体" w:hAnsi="宋体"/>
                <w:szCs w:val="21"/>
              </w:rPr>
            </w:pPr>
            <w:r>
              <w:rPr>
                <w:rFonts w:ascii="宋体" w:hAnsi="宋体"/>
                <w:szCs w:val="21"/>
                <w:lang w:val="en-GB"/>
              </w:rPr>
              <w:t>5</w:t>
            </w:r>
            <w:r>
              <w:rPr>
                <w:rFonts w:hint="eastAsia" w:ascii="宋体" w:hAnsi="宋体"/>
                <w:szCs w:val="21"/>
              </w:rPr>
              <w:t>火灾控制：办公区域配备了烟感，灭火器，有效。未发现明显火灾和安全用电隐患。</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6、相关方控制，企业有按规定的要求对相关方进行控制。</w:t>
            </w:r>
          </w:p>
          <w:p>
            <w:r>
              <w:rPr>
                <w:rFonts w:hint="eastAsia"/>
              </w:rPr>
              <w:t>提供内外部沟通函、信息沟通函，告知相关方公司方针、目标、应注意事项，符合要求。</w:t>
            </w:r>
          </w:p>
          <w:p>
            <w:pPr>
              <w:tabs>
                <w:tab w:val="left" w:pos="7380"/>
              </w:tabs>
              <w:rPr>
                <w:rFonts w:ascii="宋体" w:hAnsi="宋体"/>
                <w:szCs w:val="21"/>
              </w:rPr>
            </w:pPr>
          </w:p>
          <w:p>
            <w:pPr>
              <w:tabs>
                <w:tab w:val="left" w:pos="7380"/>
              </w:tabs>
              <w:ind w:firstLine="105" w:firstLineChars="50"/>
              <w:rPr>
                <w:rFonts w:ascii="宋体" w:hAnsi="宋体"/>
                <w:szCs w:val="21"/>
              </w:rPr>
            </w:pPr>
            <w:r>
              <w:rPr>
                <w:rFonts w:hint="eastAsia" w:ascii="宋体" w:hAnsi="宋体"/>
                <w:szCs w:val="21"/>
              </w:rPr>
              <w:t>7、提供环境安全管理体系资金投入记录</w:t>
            </w:r>
          </w:p>
          <w:p>
            <w:pPr>
              <w:tabs>
                <w:tab w:val="left" w:pos="7380"/>
              </w:tabs>
              <w:ind w:firstLine="105" w:firstLineChars="50"/>
              <w:rPr>
                <w:rFonts w:ascii="宋体" w:hAnsi="宋体"/>
                <w:szCs w:val="21"/>
              </w:rPr>
            </w:pPr>
            <w:r>
              <w:rPr>
                <w:rFonts w:hint="eastAsia" w:ascii="宋体" w:hAnsi="宋体"/>
                <w:szCs w:val="21"/>
              </w:rPr>
              <w:t>2020年度共按计划投入了：</w:t>
            </w:r>
          </w:p>
          <w:p>
            <w:pPr>
              <w:tabs>
                <w:tab w:val="left" w:pos="7380"/>
              </w:tabs>
              <w:ind w:firstLine="105" w:firstLineChars="50"/>
              <w:rPr>
                <w:rFonts w:ascii="宋体" w:hAnsi="宋体"/>
                <w:szCs w:val="21"/>
              </w:rPr>
            </w:pPr>
            <w:r>
              <w:rPr>
                <w:rFonts w:hint="eastAsia" w:ascii="宋体" w:hAnsi="宋体"/>
                <w:szCs w:val="21"/>
              </w:rPr>
              <w:t>设置垃圾处理箱  1000元</w:t>
            </w:r>
          </w:p>
          <w:p>
            <w:pPr>
              <w:tabs>
                <w:tab w:val="left" w:pos="7380"/>
              </w:tabs>
              <w:ind w:firstLine="105" w:firstLineChars="50"/>
              <w:rPr>
                <w:rFonts w:ascii="宋体" w:hAnsi="宋体"/>
                <w:szCs w:val="21"/>
              </w:rPr>
            </w:pPr>
            <w:r>
              <w:rPr>
                <w:rFonts w:hint="eastAsia" w:ascii="宋体" w:hAnsi="宋体"/>
                <w:szCs w:val="21"/>
              </w:rPr>
              <w:t>消防演练：1000元</w:t>
            </w:r>
          </w:p>
          <w:p>
            <w:pPr>
              <w:tabs>
                <w:tab w:val="left" w:pos="7380"/>
              </w:tabs>
              <w:ind w:firstLine="105" w:firstLineChars="50"/>
              <w:rPr>
                <w:rFonts w:ascii="宋体" w:hAnsi="宋体"/>
                <w:szCs w:val="21"/>
              </w:rPr>
            </w:pPr>
            <w:r>
              <w:rPr>
                <w:rFonts w:hint="eastAsia" w:ascii="宋体" w:hAnsi="宋体"/>
                <w:szCs w:val="21"/>
              </w:rPr>
              <w:t>改善办公环境：1000元</w:t>
            </w:r>
          </w:p>
          <w:p>
            <w:pPr>
              <w:tabs>
                <w:tab w:val="left" w:pos="7380"/>
              </w:tabs>
              <w:ind w:firstLine="105" w:firstLineChars="50"/>
              <w:rPr>
                <w:rFonts w:ascii="宋体" w:hAnsi="宋体"/>
                <w:szCs w:val="21"/>
              </w:rPr>
            </w:pPr>
            <w:r>
              <w:rPr>
                <w:rFonts w:hint="eastAsia" w:ascii="宋体" w:hAnsi="宋体"/>
                <w:szCs w:val="21"/>
              </w:rPr>
              <w:t>制作环境标识：500元</w:t>
            </w:r>
          </w:p>
          <w:p>
            <w:pPr>
              <w:tabs>
                <w:tab w:val="left" w:pos="7380"/>
              </w:tabs>
              <w:ind w:firstLine="105" w:firstLineChars="50"/>
              <w:rPr>
                <w:rFonts w:ascii="宋体" w:hAnsi="宋体"/>
                <w:szCs w:val="21"/>
              </w:rPr>
            </w:pPr>
            <w:r>
              <w:rPr>
                <w:rFonts w:ascii="宋体" w:hAnsi="宋体"/>
                <w:szCs w:val="21"/>
              </w:rPr>
              <w:t>环境检测</w:t>
            </w:r>
            <w:r>
              <w:rPr>
                <w:rFonts w:hint="eastAsia" w:ascii="宋体" w:hAnsi="宋体"/>
                <w:szCs w:val="21"/>
              </w:rPr>
              <w:t>：5000</w:t>
            </w:r>
          </w:p>
          <w:p>
            <w:pPr>
              <w:tabs>
                <w:tab w:val="left" w:pos="7380"/>
              </w:tabs>
              <w:ind w:firstLine="105" w:firstLineChars="50"/>
              <w:rPr>
                <w:rFonts w:ascii="宋体" w:hAnsi="宋体"/>
                <w:szCs w:val="21"/>
              </w:rPr>
            </w:pPr>
            <w:r>
              <w:rPr>
                <w:rFonts w:hint="eastAsia" w:ascii="宋体" w:hAnsi="宋体"/>
                <w:szCs w:val="21"/>
              </w:rPr>
              <w:t>水电费：2万</w:t>
            </w:r>
          </w:p>
          <w:p>
            <w:pPr>
              <w:tabs>
                <w:tab w:val="left" w:pos="7380"/>
              </w:tabs>
              <w:ind w:firstLine="105" w:firstLineChars="50"/>
              <w:rPr>
                <w:rFonts w:ascii="宋体" w:hAnsi="宋体"/>
                <w:szCs w:val="21"/>
              </w:rPr>
            </w:pPr>
            <w:r>
              <w:rPr>
                <w:rFonts w:hint="eastAsia" w:ascii="宋体" w:hAnsi="宋体"/>
                <w:szCs w:val="21"/>
              </w:rPr>
              <w:t>运行控制基本有效</w:t>
            </w:r>
          </w:p>
        </w:tc>
        <w:tc>
          <w:tcPr>
            <w:tcW w:w="15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0004" w:type="dxa"/>
          </w:tcPr>
          <w:p>
            <w:pPr>
              <w:pStyle w:val="18"/>
              <w:rPr>
                <w:color w:val="auto"/>
                <w:sz w:val="21"/>
                <w:szCs w:val="21"/>
              </w:rPr>
            </w:pPr>
            <w:r>
              <w:rPr>
                <w:rFonts w:hint="eastAsia"/>
                <w:sz w:val="21"/>
                <w:szCs w:val="21"/>
              </w:rPr>
              <w:t>编制了应急准备和响应控制程序</w:t>
            </w:r>
            <w:r>
              <w:rPr>
                <w:rFonts w:hint="eastAsia"/>
                <w:color w:val="auto"/>
                <w:sz w:val="21"/>
                <w:szCs w:val="21"/>
              </w:rPr>
              <w:t>，建立了火灾应急预案，由综合部组织演练，提供了应急预案演习记录，演练时间</w:t>
            </w:r>
            <w:r>
              <w:rPr>
                <w:color w:val="auto"/>
                <w:sz w:val="21"/>
                <w:szCs w:val="21"/>
              </w:rPr>
              <w:t xml:space="preserve"> </w:t>
            </w:r>
            <w:r>
              <w:rPr>
                <w:rFonts w:hint="eastAsia"/>
                <w:color w:val="auto"/>
                <w:sz w:val="21"/>
                <w:szCs w:val="21"/>
              </w:rPr>
              <w:t>2020年5月18日</w:t>
            </w:r>
          </w:p>
          <w:p>
            <w:pPr>
              <w:pStyle w:val="18"/>
              <w:rPr>
                <w:color w:val="auto"/>
                <w:sz w:val="21"/>
                <w:szCs w:val="21"/>
              </w:rPr>
            </w:pPr>
            <w:r>
              <w:rPr>
                <w:rFonts w:hint="eastAsia"/>
                <w:color w:val="auto"/>
                <w:sz w:val="21"/>
                <w:szCs w:val="21"/>
              </w:rPr>
              <w:t>负责人：李欣然</w:t>
            </w:r>
          </w:p>
          <w:p>
            <w:pPr>
              <w:pStyle w:val="18"/>
              <w:rPr>
                <w:color w:val="auto"/>
                <w:sz w:val="21"/>
                <w:szCs w:val="21"/>
              </w:rPr>
            </w:pPr>
            <w:r>
              <w:rPr>
                <w:rFonts w:hint="eastAsia"/>
                <w:color w:val="auto"/>
                <w:sz w:val="21"/>
                <w:szCs w:val="21"/>
              </w:rPr>
              <w:t>参加人：全体员工</w:t>
            </w:r>
          </w:p>
          <w:p>
            <w:pPr>
              <w:pStyle w:val="18"/>
              <w:rPr>
                <w:color w:val="auto"/>
                <w:sz w:val="21"/>
                <w:szCs w:val="21"/>
              </w:rPr>
            </w:pPr>
            <w:r>
              <w:rPr>
                <w:rFonts w:hint="eastAsia"/>
                <w:color w:val="auto"/>
                <w:sz w:val="21"/>
                <w:szCs w:val="21"/>
              </w:rPr>
              <w:t xml:space="preserve">演练过程描述： </w:t>
            </w:r>
          </w:p>
          <w:p>
            <w:pPr>
              <w:pStyle w:val="18"/>
              <w:rPr>
                <w:color w:val="auto"/>
                <w:sz w:val="21"/>
                <w:szCs w:val="21"/>
              </w:rPr>
            </w:pPr>
            <w:r>
              <w:rPr>
                <w:rFonts w:hint="eastAsia"/>
                <w:color w:val="auto"/>
                <w:sz w:val="21"/>
                <w:szCs w:val="21"/>
              </w:rPr>
              <w:t>1、明火、干燥、电线老化引起火灾</w:t>
            </w:r>
          </w:p>
          <w:p>
            <w:pPr>
              <w:pStyle w:val="18"/>
              <w:rPr>
                <w:color w:val="auto"/>
                <w:sz w:val="21"/>
                <w:szCs w:val="21"/>
              </w:rPr>
            </w:pPr>
            <w:r>
              <w:rPr>
                <w:rFonts w:hint="eastAsia"/>
                <w:color w:val="auto"/>
                <w:sz w:val="21"/>
                <w:szCs w:val="21"/>
              </w:rPr>
              <w:t>2、模拟烧伤处置</w:t>
            </w:r>
          </w:p>
          <w:p>
            <w:pPr>
              <w:pStyle w:val="18"/>
              <w:rPr>
                <w:color w:val="auto"/>
                <w:sz w:val="21"/>
                <w:szCs w:val="21"/>
              </w:rPr>
            </w:pPr>
            <w:r>
              <w:rPr>
                <w:rFonts w:hint="eastAsia"/>
                <w:color w:val="auto"/>
                <w:sz w:val="21"/>
                <w:szCs w:val="21"/>
              </w:rPr>
              <w:t>3、演习火灾，组织演习灭火及逃生。</w:t>
            </w:r>
          </w:p>
          <w:p>
            <w:pPr>
              <w:pStyle w:val="18"/>
              <w:rPr>
                <w:color w:val="auto"/>
                <w:sz w:val="21"/>
                <w:szCs w:val="21"/>
              </w:rPr>
            </w:pPr>
            <w:r>
              <w:rPr>
                <w:rFonts w:hint="eastAsia"/>
                <w:color w:val="auto"/>
                <w:sz w:val="21"/>
                <w:szCs w:val="21"/>
              </w:rPr>
              <w:t>应急能力评价：公司制定的应急措施有效，故障顺利被排除。</w:t>
            </w:r>
          </w:p>
          <w:p>
            <w:pPr>
              <w:pStyle w:val="18"/>
              <w:rPr>
                <w:color w:val="auto"/>
                <w:sz w:val="21"/>
                <w:szCs w:val="21"/>
              </w:rPr>
            </w:pPr>
            <w:r>
              <w:rPr>
                <w:rFonts w:hint="eastAsia"/>
                <w:color w:val="auto"/>
                <w:sz w:val="21"/>
                <w:szCs w:val="21"/>
              </w:rPr>
              <w:t>烧伤得到正确的处置。</w:t>
            </w:r>
          </w:p>
          <w:p>
            <w:pPr>
              <w:pStyle w:val="18"/>
              <w:rPr>
                <w:color w:val="auto"/>
                <w:sz w:val="21"/>
                <w:szCs w:val="21"/>
              </w:rPr>
            </w:pPr>
            <w:r>
              <w:rPr>
                <w:rFonts w:hint="eastAsia"/>
                <w:color w:val="auto"/>
                <w:sz w:val="21"/>
                <w:szCs w:val="21"/>
              </w:rPr>
              <w:t>人员能及时疏散。</w:t>
            </w:r>
          </w:p>
          <w:p>
            <w:pPr>
              <w:pStyle w:val="18"/>
              <w:rPr>
                <w:color w:val="auto"/>
                <w:sz w:val="21"/>
                <w:szCs w:val="21"/>
              </w:rPr>
            </w:pPr>
            <w:r>
              <w:rPr>
                <w:rFonts w:hint="eastAsia"/>
                <w:color w:val="auto"/>
                <w:sz w:val="21"/>
                <w:szCs w:val="21"/>
              </w:rPr>
              <w:t>灭火方法正确有效。</w:t>
            </w:r>
          </w:p>
          <w:p>
            <w:pPr>
              <w:pStyle w:val="18"/>
              <w:rPr>
                <w:color w:val="auto"/>
                <w:sz w:val="21"/>
                <w:szCs w:val="21"/>
              </w:rPr>
            </w:pPr>
            <w:r>
              <w:rPr>
                <w:rFonts w:hint="eastAsia"/>
                <w:color w:val="auto"/>
                <w:sz w:val="21"/>
                <w:szCs w:val="21"/>
              </w:rPr>
              <w:t>演习过程表明，应急预案中设定的方法可以控制应急情况下的环境污染，将人身伤亡可能降到最低。</w:t>
            </w:r>
          </w:p>
          <w:p>
            <w:pPr>
              <w:pStyle w:val="18"/>
              <w:rPr>
                <w:color w:val="auto"/>
                <w:sz w:val="21"/>
                <w:szCs w:val="21"/>
              </w:rPr>
            </w:pPr>
            <w:r>
              <w:rPr>
                <w:rFonts w:hint="eastAsia"/>
                <w:color w:val="auto"/>
                <w:sz w:val="21"/>
                <w:szCs w:val="21"/>
              </w:rPr>
              <w:t>评价人：薛永兴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内部审核实施及有效性</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QE9.2</w:t>
            </w:r>
          </w:p>
          <w:p>
            <w:pPr>
              <w:rPr>
                <w:rFonts w:ascii="宋体" w:hAnsi="宋体"/>
              </w:rPr>
            </w:pPr>
          </w:p>
        </w:tc>
        <w:tc>
          <w:tcPr>
            <w:tcW w:w="10004" w:type="dxa"/>
          </w:tcPr>
          <w:p>
            <w:pPr>
              <w:tabs>
                <w:tab w:val="left" w:pos="7380"/>
              </w:tabs>
              <w:rPr>
                <w:rFonts w:ascii="宋体" w:hAnsi="宋体"/>
                <w:szCs w:val="21"/>
              </w:rPr>
            </w:pPr>
            <w:r>
              <w:rPr>
                <w:rFonts w:hint="eastAsia" w:ascii="宋体" w:hAnsi="宋体"/>
                <w:szCs w:val="21"/>
              </w:rPr>
              <w:t>公司制定了《内部审核控制程序》，文件规定每年至少进行一次内部审核，间隔时间不超过12个月。规定了审核的策划、实施、形成记录以及报告结果的要求。</w:t>
            </w:r>
          </w:p>
          <w:p>
            <w:pPr>
              <w:tabs>
                <w:tab w:val="left" w:pos="7380"/>
              </w:tabs>
              <w:rPr>
                <w:rFonts w:ascii="宋体" w:hAnsi="宋体"/>
                <w:szCs w:val="21"/>
              </w:rPr>
            </w:pPr>
            <w:r>
              <w:rPr>
                <w:rFonts w:hint="eastAsia" w:ascii="宋体" w:hAnsi="宋体"/>
                <w:szCs w:val="21"/>
              </w:rPr>
              <w:t>提供了《审核实施计划》，审核目的，范围、依据、审核时间、受审部门、日程安排、审核组长和成员等内容。</w:t>
            </w:r>
          </w:p>
          <w:p>
            <w:pPr>
              <w:tabs>
                <w:tab w:val="left" w:pos="7380"/>
              </w:tabs>
              <w:rPr>
                <w:rFonts w:ascii="宋体" w:hAnsi="宋体"/>
                <w:szCs w:val="21"/>
              </w:rPr>
            </w:pPr>
            <w:r>
              <w:rPr>
                <w:rFonts w:hint="eastAsia" w:ascii="宋体" w:hAnsi="宋体"/>
                <w:szCs w:val="21"/>
              </w:rPr>
              <w:t>内审时间：2020年7月10日</w:t>
            </w:r>
          </w:p>
          <w:p>
            <w:pPr>
              <w:tabs>
                <w:tab w:val="left" w:pos="7380"/>
              </w:tabs>
              <w:rPr>
                <w:rFonts w:ascii="宋体" w:hAnsi="宋体"/>
                <w:szCs w:val="21"/>
              </w:rPr>
            </w:pPr>
            <w:r>
              <w:rPr>
                <w:rFonts w:hint="eastAsia" w:ascii="宋体" w:hAnsi="宋体"/>
                <w:szCs w:val="21"/>
              </w:rPr>
              <w:t>依据ISO9001:2015\ISO14001:2015版标准。</w:t>
            </w:r>
          </w:p>
          <w:p>
            <w:pPr>
              <w:tabs>
                <w:tab w:val="left" w:pos="7380"/>
              </w:tabs>
              <w:rPr>
                <w:rFonts w:ascii="宋体" w:hAnsi="宋体"/>
                <w:szCs w:val="21"/>
              </w:rPr>
            </w:pPr>
            <w:r>
              <w:rPr>
                <w:rFonts w:hint="eastAsia" w:ascii="宋体" w:hAnsi="宋体"/>
                <w:szCs w:val="21"/>
              </w:rPr>
              <w:t>计划由总经理批准后实施。</w:t>
            </w:r>
          </w:p>
          <w:p>
            <w:pPr>
              <w:tabs>
                <w:tab w:val="left" w:pos="7380"/>
              </w:tabs>
              <w:rPr>
                <w:rFonts w:ascii="宋体" w:hAnsi="宋体"/>
                <w:szCs w:val="21"/>
              </w:rPr>
            </w:pPr>
            <w:r>
              <w:rPr>
                <w:rFonts w:hint="eastAsia" w:ascii="宋体" w:hAnsi="宋体"/>
                <w:szCs w:val="21"/>
              </w:rPr>
              <w:t>公司按计划实施了内审。</w:t>
            </w:r>
          </w:p>
          <w:p>
            <w:pPr>
              <w:tabs>
                <w:tab w:val="left" w:pos="7380"/>
              </w:tabs>
              <w:rPr>
                <w:rFonts w:ascii="宋体" w:hAnsi="宋体"/>
                <w:szCs w:val="21"/>
              </w:rPr>
            </w:pPr>
            <w:r>
              <w:rPr>
                <w:rFonts w:hint="eastAsia" w:ascii="宋体" w:hAnsi="宋体"/>
                <w:szCs w:val="21"/>
              </w:rPr>
              <w:t>内审员：薛永兴、李欣然；提供内审员任命书。</w:t>
            </w:r>
          </w:p>
          <w:p>
            <w:pPr>
              <w:tabs>
                <w:tab w:val="left" w:pos="7380"/>
              </w:tabs>
              <w:rPr>
                <w:rFonts w:ascii="宋体" w:hAnsi="宋体"/>
                <w:szCs w:val="21"/>
              </w:rPr>
            </w:pPr>
            <w:r>
              <w:rPr>
                <w:rFonts w:hint="eastAsia" w:ascii="宋体" w:hAnsi="宋体"/>
                <w:szCs w:val="21"/>
              </w:rPr>
              <w:t xml:space="preserve">内审员的安排考虑了审核过程的客观性和公正性，没有发现自己审核本部门的情况。  </w:t>
            </w:r>
          </w:p>
          <w:p>
            <w:pPr>
              <w:tabs>
                <w:tab w:val="left" w:pos="7380"/>
              </w:tabs>
              <w:rPr>
                <w:rFonts w:ascii="宋体" w:hAnsi="宋体"/>
                <w:szCs w:val="21"/>
              </w:rPr>
            </w:pPr>
            <w:r>
              <w:rPr>
                <w:rFonts w:hint="eastAsia" w:ascii="宋体" w:hAnsi="宋体"/>
                <w:szCs w:val="21"/>
              </w:rPr>
              <w:t>提供了内审检查表。内审不符合1项，已整改验收合格。内审报告显示本公司的管理体系均运行良好。</w:t>
            </w:r>
          </w:p>
          <w:p>
            <w:pPr>
              <w:rPr>
                <w:rFonts w:ascii="宋体" w:hAnsi="宋体"/>
              </w:rPr>
            </w:pPr>
            <w:r>
              <w:rPr>
                <w:rFonts w:hint="eastAsia" w:ascii="宋体" w:hAnsi="宋体"/>
                <w:szCs w:val="21"/>
              </w:rPr>
              <w:t>策划安排基本符合程序要求。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color w:val="000000"/>
                <w:szCs w:val="21"/>
              </w:rPr>
              <w:t>事件、不符合</w:t>
            </w:r>
          </w:p>
          <w:p>
            <w:pPr>
              <w:tabs>
                <w:tab w:val="left" w:pos="7380"/>
              </w:tabs>
              <w:rPr>
                <w:rFonts w:ascii="宋体" w:hAnsi="宋体"/>
                <w:szCs w:val="21"/>
              </w:rPr>
            </w:pPr>
            <w:r>
              <w:rPr>
                <w:rFonts w:hint="eastAsia" w:ascii="宋体" w:hAnsi="宋体"/>
                <w:szCs w:val="21"/>
              </w:rPr>
              <w:t>纠正和预防措施</w:t>
            </w:r>
          </w:p>
          <w:p>
            <w:pPr>
              <w:tabs>
                <w:tab w:val="left" w:pos="7380"/>
              </w:tabs>
              <w:rPr>
                <w:rFonts w:ascii="Tahoma" w:hAnsi="Tahoma" w:cs="Tahoma"/>
                <w:szCs w:val="21"/>
              </w:rPr>
            </w:pPr>
          </w:p>
        </w:tc>
        <w:tc>
          <w:tcPr>
            <w:tcW w:w="960" w:type="dxa"/>
          </w:tcPr>
          <w:p>
            <w:pPr>
              <w:tabs>
                <w:tab w:val="left" w:pos="7380"/>
              </w:tabs>
              <w:rPr>
                <w:rFonts w:ascii="宋体" w:hAnsi="宋体"/>
                <w:szCs w:val="21"/>
              </w:rPr>
            </w:pPr>
            <w:r>
              <w:rPr>
                <w:rFonts w:hint="eastAsia" w:ascii="宋体" w:hAnsi="宋体"/>
                <w:szCs w:val="21"/>
              </w:rPr>
              <w:t>E10.2</w:t>
            </w:r>
          </w:p>
        </w:tc>
        <w:tc>
          <w:tcPr>
            <w:tcW w:w="10004" w:type="dxa"/>
          </w:tcPr>
          <w:p>
            <w:pPr>
              <w:tabs>
                <w:tab w:val="left" w:pos="7380"/>
              </w:tabs>
              <w:rPr>
                <w:rFonts w:ascii="宋体" w:hAnsi="宋体"/>
                <w:szCs w:val="21"/>
              </w:rPr>
            </w:pPr>
            <w:r>
              <w:rPr>
                <w:rFonts w:hint="eastAsia" w:ascii="宋体" w:hAnsi="宋体"/>
                <w:szCs w:val="21"/>
              </w:rPr>
              <w:t>编制</w:t>
            </w:r>
            <w:r>
              <w:rPr>
                <w:rFonts w:hint="eastAsia"/>
                <w:szCs w:val="21"/>
              </w:rPr>
              <w:t>《不合格输出控制程序》《</w:t>
            </w:r>
            <w:r>
              <w:rPr>
                <w:rFonts w:hint="eastAsia" w:ascii="宋体" w:hAnsi="宋体" w:cs="宋体"/>
                <w:position w:val="-1"/>
                <w:sz w:val="24"/>
                <w:szCs w:val="24"/>
              </w:rPr>
              <w:t>不符合与纠正措施控制程序</w:t>
            </w:r>
            <w:r>
              <w:rPr>
                <w:rFonts w:hint="eastAsia"/>
                <w:szCs w:val="21"/>
              </w:rPr>
              <w:t>》《事故、事件和不符合管理程序》</w:t>
            </w:r>
            <w:r>
              <w:rPr>
                <w:rFonts w:hint="eastAsia" w:ascii="宋体" w:hAnsi="宋体"/>
                <w:szCs w:val="21"/>
              </w:rPr>
              <w:t>。</w:t>
            </w:r>
          </w:p>
          <w:p>
            <w:pPr>
              <w:tabs>
                <w:tab w:val="left" w:pos="7380"/>
              </w:tabs>
              <w:rPr>
                <w:rFonts w:ascii="宋体" w:hAnsi="宋体"/>
                <w:szCs w:val="21"/>
              </w:rPr>
            </w:pPr>
            <w:r>
              <w:rPr>
                <w:rFonts w:hint="eastAsia" w:ascii="宋体" w:hAnsi="宋体"/>
                <w:szCs w:val="21"/>
              </w:rPr>
              <w:t>询问公司事故事件及不符合情况，自体系运行以来，均未发生重大事故、事件及不符合情况，也未发生相关方投诉情况。</w:t>
            </w:r>
          </w:p>
          <w:p>
            <w:pPr>
              <w:tabs>
                <w:tab w:val="left" w:pos="7380"/>
              </w:tabs>
              <w:rPr>
                <w:rFonts w:ascii="宋体" w:hAnsi="宋体"/>
                <w:szCs w:val="21"/>
              </w:rPr>
            </w:pPr>
            <w:r>
              <w:rPr>
                <w:rFonts w:hint="eastAsia" w:ascii="宋体" w:hAnsi="宋体"/>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pPr>
              <w:rPr>
                <w:szCs w:val="21"/>
              </w:rPr>
            </w:pPr>
            <w:r>
              <w:rPr>
                <w:rFonts w:hint="eastAsia"/>
                <w:szCs w:val="21"/>
              </w:rPr>
              <w:t>Y</w:t>
            </w:r>
          </w:p>
        </w:tc>
      </w:tr>
    </w:tbl>
    <w:p>
      <w:pPr>
        <w:pStyle w:val="7"/>
      </w:pPr>
    </w:p>
    <w:p>
      <w:pPr>
        <w:pStyle w:val="7"/>
      </w:pPr>
    </w:p>
    <w:p>
      <w:pPr>
        <w:pStyle w:val="7"/>
      </w:pPr>
    </w:p>
    <w:p>
      <w:pPr>
        <w:pStyle w:val="7"/>
      </w:pPr>
    </w:p>
    <w:p>
      <w:pPr>
        <w:pStyle w:val="7"/>
      </w:pPr>
    </w:p>
    <w:p>
      <w:pPr>
        <w:pStyle w:val="7"/>
      </w:pP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受审核部门：技术部    主管领导/陪同人员：刘兴昌</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审核时间：2020年10月5日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审核条款：5.3，6.2，7.1.3 7.1.4  7.1.5  7.1.6  </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负责基础设施、工作环境、监视测量设备管理及企业知识管理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1、技术服务质量合格率100%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 技术指导按时完成率100%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2020年3月至2020年9月目标完成情况：均完成，符合要求。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环境因素识别</w:t>
            </w:r>
          </w:p>
        </w:tc>
        <w:tc>
          <w:tcPr>
            <w:tcW w:w="960" w:type="dxa"/>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提供了部门</w:t>
            </w:r>
            <w:r>
              <w:rPr>
                <w:rFonts w:hint="eastAsia"/>
                <w:szCs w:val="21"/>
              </w:rPr>
              <w:t>《环境因素评价表》</w:t>
            </w:r>
            <w:r>
              <w:rPr>
                <w:rFonts w:hint="eastAsia" w:ascii="宋体" w:hAnsi="宋体"/>
                <w:szCs w:val="21"/>
              </w:rPr>
              <w:t xml:space="preserve">和《重要环境因素清单》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w:t>
            </w:r>
            <w:r>
              <w:rPr>
                <w:rFonts w:hint="eastAsia"/>
                <w:szCs w:val="21"/>
              </w:rPr>
              <w:t>固体废弃物排放，火灾</w:t>
            </w:r>
          </w:p>
          <w:p>
            <w:r>
              <w:rPr>
                <w:rFonts w:hint="eastAsia" w:ascii="宋体" w:hAnsi="宋体"/>
                <w:szCs w:val="21"/>
              </w:rPr>
              <w:t>识别全面，评价准确。</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基础设施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配备了电话，电脑、打印机、复印机、空调、办公桌椅等办公和通讯等设备/设施。提供了《设备清单》，基本能满足服务需要。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过程运行环境</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村办进行管理，符合基础设施的管理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监视和测量工具</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公司</w:t>
            </w:r>
            <w:r>
              <w:rPr>
                <w:rFonts w:hint="eastAsia" w:asciiTheme="minorEastAsia" w:hAnsiTheme="minorEastAsia" w:eastAsiaTheme="minorEastAsia"/>
                <w:szCs w:val="21"/>
              </w:rPr>
              <w:t>企业经营</w:t>
            </w:r>
            <w:r>
              <w:rPr>
                <w:rFonts w:asciiTheme="minorEastAsia" w:hAnsiTheme="minorEastAsia" w:eastAsiaTheme="minorEastAsia"/>
                <w:szCs w:val="21"/>
              </w:rPr>
              <w:t>属服务性质，其服务质量无法用仪器设备进行检测和测量。公司目前的监视和测量工具主要是服务质量考核、顾客满意情况调查、</w:t>
            </w:r>
            <w:r>
              <w:rPr>
                <w:rFonts w:hint="eastAsia" w:asciiTheme="minorEastAsia" w:hAnsiTheme="minorEastAsia" w:eastAsiaTheme="minorEastAsia"/>
                <w:szCs w:val="21"/>
              </w:rPr>
              <w:t>客户结账账单</w:t>
            </w:r>
            <w:r>
              <w:rPr>
                <w:rFonts w:asciiTheme="minorEastAsia" w:hAnsiTheme="minorEastAsia" w:eastAsiaTheme="minorEastAsia"/>
                <w:szCs w:val="21"/>
              </w:rPr>
              <w:t>等，通过表格来对服务服务过程进行监督和检查，以确保满足顾客要求。询问部门负责人称，公司对于《人员服务记录》和《顾客满意情况调查表》</w:t>
            </w:r>
            <w:r>
              <w:rPr>
                <w:rFonts w:hint="eastAsia" w:asciiTheme="minorEastAsia" w:hAnsiTheme="minorEastAsia" w:eastAsiaTheme="minorEastAsia"/>
                <w:szCs w:val="21"/>
              </w:rPr>
              <w:t>等</w:t>
            </w:r>
            <w:r>
              <w:rPr>
                <w:rFonts w:asciiTheme="minorEastAsia" w:hAnsiTheme="minorEastAsia" w:eastAsiaTheme="minorEastAsia"/>
                <w:szCs w:val="21"/>
              </w:rPr>
              <w:t>在表格制定完成后使用前进行了确认，分别对表格的格式、内容等内容进行了确认，经确认表格的内容清晰、格式完整，能够达到对服务进行监视和测量的目的。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组织知识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7.1.6</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技术部负责公司知识管理的协调工作、无形资产的管理、信息系统的建设与管理以及公司所有制度文件和资料的管理和控制工作并对内、外部知识进行确定、维护、发放与管理。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询问部门负责人称，公司定期进行技术培训，由项目经理或技术负责人进行技术知识的培训。每周进行一次例会，交流项目实施过程中的经验教训等。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内部知识：作业指导书、改进措施、成功项目案例、人员等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外部知识包括：外来资料、市场信息两大类。主要有：法律法规：《中华人民共和国产品质量法》、《中华人民共和国合同法》国网北京市电力公司配电网工程---典型设计》、《城市电力规划规范》 GB 50293-1999、城市配电网规划设计规范 GB 50613-2010、10kV及以下变电所设计规范 GB 50053-1994、35-110kV高压配电装置设计规范 GB 50060-2008、66kV及以下架空电力线路设计规范 GB 50061-2010、供配电系统设计规范 GB 50052-2009、低压配电设计规范 GB 50054-2011、电力工程电缆设计规范 GB 50217-2007、电力装置的继电保护和自动装置设计规范 GB 50062-2008、电能质量电压波动和闪变 GB/T 12326-2008、电能质量公用电网谐波 GB/T 14549-1993、交流电气装置的接地设计规范 GB/T 50065-2011、建筑物防雷设计规范 GB 50057-2010、《工业与民用配电设计手册》第三版：中国电力出版社，2005、《城市电力网规划设计导则》 Q/GDW 156-2006等。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已制定培训计划组织学习相关知识，并按要求不断更新。</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2049" o:spid="_x0000_s2049"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-13管理体系审核记录表(03版)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0781"/>
    <w:rsid w:val="00002835"/>
    <w:rsid w:val="0001367D"/>
    <w:rsid w:val="000143DA"/>
    <w:rsid w:val="00020ED0"/>
    <w:rsid w:val="000237F6"/>
    <w:rsid w:val="00023EA8"/>
    <w:rsid w:val="000305BF"/>
    <w:rsid w:val="0003373A"/>
    <w:rsid w:val="000345B1"/>
    <w:rsid w:val="000400E2"/>
    <w:rsid w:val="00041774"/>
    <w:rsid w:val="000463B7"/>
    <w:rsid w:val="000578DA"/>
    <w:rsid w:val="00062426"/>
    <w:rsid w:val="00062E46"/>
    <w:rsid w:val="00066F4D"/>
    <w:rsid w:val="00076D76"/>
    <w:rsid w:val="00080F7D"/>
    <w:rsid w:val="00082D89"/>
    <w:rsid w:val="0008596C"/>
    <w:rsid w:val="00091FE9"/>
    <w:rsid w:val="00095D51"/>
    <w:rsid w:val="000A2EFC"/>
    <w:rsid w:val="000A7732"/>
    <w:rsid w:val="000B5746"/>
    <w:rsid w:val="000C16F5"/>
    <w:rsid w:val="000C71B1"/>
    <w:rsid w:val="000D1B2E"/>
    <w:rsid w:val="000E006C"/>
    <w:rsid w:val="000E361C"/>
    <w:rsid w:val="000E6203"/>
    <w:rsid w:val="000F23CD"/>
    <w:rsid w:val="000F2406"/>
    <w:rsid w:val="000F7A15"/>
    <w:rsid w:val="000F7F73"/>
    <w:rsid w:val="001056C0"/>
    <w:rsid w:val="00106BA8"/>
    <w:rsid w:val="00107641"/>
    <w:rsid w:val="001119E9"/>
    <w:rsid w:val="00112BB2"/>
    <w:rsid w:val="0011314F"/>
    <w:rsid w:val="001164DE"/>
    <w:rsid w:val="001170EC"/>
    <w:rsid w:val="00126230"/>
    <w:rsid w:val="00126E74"/>
    <w:rsid w:val="00127915"/>
    <w:rsid w:val="001363FE"/>
    <w:rsid w:val="001434B8"/>
    <w:rsid w:val="00156D3A"/>
    <w:rsid w:val="00163DB9"/>
    <w:rsid w:val="0017278C"/>
    <w:rsid w:val="001751C1"/>
    <w:rsid w:val="001800CC"/>
    <w:rsid w:val="0018137F"/>
    <w:rsid w:val="00187D74"/>
    <w:rsid w:val="00192560"/>
    <w:rsid w:val="00193E89"/>
    <w:rsid w:val="0019692D"/>
    <w:rsid w:val="001A08E7"/>
    <w:rsid w:val="001A0A43"/>
    <w:rsid w:val="001A2D7F"/>
    <w:rsid w:val="001A6746"/>
    <w:rsid w:val="001B6E4F"/>
    <w:rsid w:val="001B7223"/>
    <w:rsid w:val="001C064C"/>
    <w:rsid w:val="001C3C83"/>
    <w:rsid w:val="001C5477"/>
    <w:rsid w:val="001D03C6"/>
    <w:rsid w:val="001D6E67"/>
    <w:rsid w:val="001E2B4A"/>
    <w:rsid w:val="001E5BA4"/>
    <w:rsid w:val="001E751A"/>
    <w:rsid w:val="001F1B3C"/>
    <w:rsid w:val="001F1EB8"/>
    <w:rsid w:val="001F5838"/>
    <w:rsid w:val="001F6E94"/>
    <w:rsid w:val="00202B24"/>
    <w:rsid w:val="00205C72"/>
    <w:rsid w:val="00206F14"/>
    <w:rsid w:val="00210D18"/>
    <w:rsid w:val="002134E8"/>
    <w:rsid w:val="00213928"/>
    <w:rsid w:val="00217506"/>
    <w:rsid w:val="00233743"/>
    <w:rsid w:val="002343D3"/>
    <w:rsid w:val="002355F8"/>
    <w:rsid w:val="002377AE"/>
    <w:rsid w:val="00245CC2"/>
    <w:rsid w:val="002505F5"/>
    <w:rsid w:val="00251AB2"/>
    <w:rsid w:val="00255E25"/>
    <w:rsid w:val="002602AE"/>
    <w:rsid w:val="002621EE"/>
    <w:rsid w:val="00267B77"/>
    <w:rsid w:val="002804DA"/>
    <w:rsid w:val="00283698"/>
    <w:rsid w:val="0029245E"/>
    <w:rsid w:val="00292BE4"/>
    <w:rsid w:val="002939AD"/>
    <w:rsid w:val="00295971"/>
    <w:rsid w:val="002A12FF"/>
    <w:rsid w:val="002A227C"/>
    <w:rsid w:val="002A3899"/>
    <w:rsid w:val="002A4DC2"/>
    <w:rsid w:val="002A7BFD"/>
    <w:rsid w:val="002C15D2"/>
    <w:rsid w:val="002C1BA9"/>
    <w:rsid w:val="002C2F6A"/>
    <w:rsid w:val="002F0A95"/>
    <w:rsid w:val="002F2F4D"/>
    <w:rsid w:val="002F7EC6"/>
    <w:rsid w:val="00300AA9"/>
    <w:rsid w:val="00311BCB"/>
    <w:rsid w:val="003151F3"/>
    <w:rsid w:val="0032236B"/>
    <w:rsid w:val="003303AB"/>
    <w:rsid w:val="0033511B"/>
    <w:rsid w:val="00337922"/>
    <w:rsid w:val="00340867"/>
    <w:rsid w:val="003422FC"/>
    <w:rsid w:val="00342D40"/>
    <w:rsid w:val="00345151"/>
    <w:rsid w:val="00351067"/>
    <w:rsid w:val="00352626"/>
    <w:rsid w:val="00360E9B"/>
    <w:rsid w:val="003654C8"/>
    <w:rsid w:val="00373185"/>
    <w:rsid w:val="00373A04"/>
    <w:rsid w:val="003758C5"/>
    <w:rsid w:val="00380837"/>
    <w:rsid w:val="00381ADC"/>
    <w:rsid w:val="00384BFE"/>
    <w:rsid w:val="0039166C"/>
    <w:rsid w:val="003A198A"/>
    <w:rsid w:val="003B00AF"/>
    <w:rsid w:val="003D03E2"/>
    <w:rsid w:val="003D0A51"/>
    <w:rsid w:val="004040D5"/>
    <w:rsid w:val="00410914"/>
    <w:rsid w:val="00414654"/>
    <w:rsid w:val="004146E6"/>
    <w:rsid w:val="0041622A"/>
    <w:rsid w:val="004227EE"/>
    <w:rsid w:val="0042282D"/>
    <w:rsid w:val="00446D85"/>
    <w:rsid w:val="0045072A"/>
    <w:rsid w:val="00453035"/>
    <w:rsid w:val="004543CA"/>
    <w:rsid w:val="00455E7F"/>
    <w:rsid w:val="0046427D"/>
    <w:rsid w:val="00466990"/>
    <w:rsid w:val="00466B7A"/>
    <w:rsid w:val="00483295"/>
    <w:rsid w:val="00490FDD"/>
    <w:rsid w:val="00493ADB"/>
    <w:rsid w:val="0049563C"/>
    <w:rsid w:val="004A3BA4"/>
    <w:rsid w:val="004B06F1"/>
    <w:rsid w:val="004B0A35"/>
    <w:rsid w:val="004B23B6"/>
    <w:rsid w:val="004B3F4B"/>
    <w:rsid w:val="004B5A44"/>
    <w:rsid w:val="004B7712"/>
    <w:rsid w:val="004D0D03"/>
    <w:rsid w:val="004D7A49"/>
    <w:rsid w:val="004E465C"/>
    <w:rsid w:val="004E543F"/>
    <w:rsid w:val="004E5D36"/>
    <w:rsid w:val="004F040C"/>
    <w:rsid w:val="004F1BBF"/>
    <w:rsid w:val="004F373D"/>
    <w:rsid w:val="004F65F8"/>
    <w:rsid w:val="004F6A1A"/>
    <w:rsid w:val="00502C74"/>
    <w:rsid w:val="005069D0"/>
    <w:rsid w:val="0050793A"/>
    <w:rsid w:val="00510599"/>
    <w:rsid w:val="00510ADE"/>
    <w:rsid w:val="00517A4C"/>
    <w:rsid w:val="005251B4"/>
    <w:rsid w:val="00536930"/>
    <w:rsid w:val="00542DAA"/>
    <w:rsid w:val="00544183"/>
    <w:rsid w:val="00551462"/>
    <w:rsid w:val="005537CE"/>
    <w:rsid w:val="00556D72"/>
    <w:rsid w:val="00563167"/>
    <w:rsid w:val="00564E53"/>
    <w:rsid w:val="00573551"/>
    <w:rsid w:val="005900C0"/>
    <w:rsid w:val="005A728D"/>
    <w:rsid w:val="005B7E20"/>
    <w:rsid w:val="005C1653"/>
    <w:rsid w:val="005C6640"/>
    <w:rsid w:val="005D5659"/>
    <w:rsid w:val="005D6648"/>
    <w:rsid w:val="005E61FA"/>
    <w:rsid w:val="005E6BA8"/>
    <w:rsid w:val="005E6E51"/>
    <w:rsid w:val="005F175F"/>
    <w:rsid w:val="00600C20"/>
    <w:rsid w:val="006106AE"/>
    <w:rsid w:val="00614476"/>
    <w:rsid w:val="00615D92"/>
    <w:rsid w:val="006224C7"/>
    <w:rsid w:val="0062719B"/>
    <w:rsid w:val="00627DC5"/>
    <w:rsid w:val="00630E4B"/>
    <w:rsid w:val="0063181A"/>
    <w:rsid w:val="0063243D"/>
    <w:rsid w:val="00642982"/>
    <w:rsid w:val="0064309F"/>
    <w:rsid w:val="00644FE2"/>
    <w:rsid w:val="00650EC4"/>
    <w:rsid w:val="006530C4"/>
    <w:rsid w:val="00654D32"/>
    <w:rsid w:val="00664997"/>
    <w:rsid w:val="00670863"/>
    <w:rsid w:val="00674D5F"/>
    <w:rsid w:val="0067598F"/>
    <w:rsid w:val="0067599F"/>
    <w:rsid w:val="00675E3E"/>
    <w:rsid w:val="0067640C"/>
    <w:rsid w:val="00680907"/>
    <w:rsid w:val="00686666"/>
    <w:rsid w:val="006946FA"/>
    <w:rsid w:val="006A7D53"/>
    <w:rsid w:val="006B0CF3"/>
    <w:rsid w:val="006B15B7"/>
    <w:rsid w:val="006B204D"/>
    <w:rsid w:val="006B6803"/>
    <w:rsid w:val="006C1B3B"/>
    <w:rsid w:val="006C38C7"/>
    <w:rsid w:val="006D0C09"/>
    <w:rsid w:val="006D76D3"/>
    <w:rsid w:val="006D783D"/>
    <w:rsid w:val="006E1A7B"/>
    <w:rsid w:val="006E2294"/>
    <w:rsid w:val="006E678B"/>
    <w:rsid w:val="006E7037"/>
    <w:rsid w:val="006F0750"/>
    <w:rsid w:val="006F2D1D"/>
    <w:rsid w:val="006F3892"/>
    <w:rsid w:val="006F38C7"/>
    <w:rsid w:val="006F5AC4"/>
    <w:rsid w:val="006F6092"/>
    <w:rsid w:val="006F650A"/>
    <w:rsid w:val="006F7E0A"/>
    <w:rsid w:val="00702721"/>
    <w:rsid w:val="00703EF3"/>
    <w:rsid w:val="0070714C"/>
    <w:rsid w:val="00707397"/>
    <w:rsid w:val="00710474"/>
    <w:rsid w:val="00712BAF"/>
    <w:rsid w:val="00713473"/>
    <w:rsid w:val="0071666E"/>
    <w:rsid w:val="00720184"/>
    <w:rsid w:val="007211F8"/>
    <w:rsid w:val="00724327"/>
    <w:rsid w:val="00730627"/>
    <w:rsid w:val="007309AC"/>
    <w:rsid w:val="00732659"/>
    <w:rsid w:val="00732D60"/>
    <w:rsid w:val="007370B1"/>
    <w:rsid w:val="007375DF"/>
    <w:rsid w:val="00740EA3"/>
    <w:rsid w:val="00742D1F"/>
    <w:rsid w:val="007459BB"/>
    <w:rsid w:val="007510F7"/>
    <w:rsid w:val="0075296C"/>
    <w:rsid w:val="007542AA"/>
    <w:rsid w:val="00754701"/>
    <w:rsid w:val="00762F9A"/>
    <w:rsid w:val="00765D1B"/>
    <w:rsid w:val="007757F3"/>
    <w:rsid w:val="00776E9D"/>
    <w:rsid w:val="00791AA1"/>
    <w:rsid w:val="007934FE"/>
    <w:rsid w:val="007B2935"/>
    <w:rsid w:val="007B3D48"/>
    <w:rsid w:val="007B501E"/>
    <w:rsid w:val="007B6021"/>
    <w:rsid w:val="007C0D85"/>
    <w:rsid w:val="007C1CD9"/>
    <w:rsid w:val="007C51E8"/>
    <w:rsid w:val="007C5A12"/>
    <w:rsid w:val="007C6AF2"/>
    <w:rsid w:val="007C7E79"/>
    <w:rsid w:val="007D2BC7"/>
    <w:rsid w:val="007D7AF3"/>
    <w:rsid w:val="007D7F7B"/>
    <w:rsid w:val="007E525D"/>
    <w:rsid w:val="007E6AEB"/>
    <w:rsid w:val="007F58FA"/>
    <w:rsid w:val="00802AB8"/>
    <w:rsid w:val="00807913"/>
    <w:rsid w:val="00807D65"/>
    <w:rsid w:val="00814E2E"/>
    <w:rsid w:val="008255F4"/>
    <w:rsid w:val="008301DD"/>
    <w:rsid w:val="00832A88"/>
    <w:rsid w:val="0084425B"/>
    <w:rsid w:val="0084766F"/>
    <w:rsid w:val="00857EBF"/>
    <w:rsid w:val="00860122"/>
    <w:rsid w:val="008645E4"/>
    <w:rsid w:val="008723E1"/>
    <w:rsid w:val="00873577"/>
    <w:rsid w:val="00884EA4"/>
    <w:rsid w:val="008903EE"/>
    <w:rsid w:val="008973EE"/>
    <w:rsid w:val="008A5761"/>
    <w:rsid w:val="008A6DB0"/>
    <w:rsid w:val="008A7193"/>
    <w:rsid w:val="008B0BEC"/>
    <w:rsid w:val="008C0F60"/>
    <w:rsid w:val="008C396C"/>
    <w:rsid w:val="008C4700"/>
    <w:rsid w:val="008D12D9"/>
    <w:rsid w:val="008D390D"/>
    <w:rsid w:val="008D54A2"/>
    <w:rsid w:val="008D54A7"/>
    <w:rsid w:val="008D7FA8"/>
    <w:rsid w:val="008E6A38"/>
    <w:rsid w:val="009044A0"/>
    <w:rsid w:val="00911C77"/>
    <w:rsid w:val="009141E6"/>
    <w:rsid w:val="009149F7"/>
    <w:rsid w:val="00915831"/>
    <w:rsid w:val="0091589D"/>
    <w:rsid w:val="009203B0"/>
    <w:rsid w:val="0092793F"/>
    <w:rsid w:val="00934BD5"/>
    <w:rsid w:val="00936395"/>
    <w:rsid w:val="009436EE"/>
    <w:rsid w:val="00952CA8"/>
    <w:rsid w:val="00953BA6"/>
    <w:rsid w:val="00964D2F"/>
    <w:rsid w:val="00971600"/>
    <w:rsid w:val="0097243F"/>
    <w:rsid w:val="00972732"/>
    <w:rsid w:val="0097502C"/>
    <w:rsid w:val="00980567"/>
    <w:rsid w:val="00981054"/>
    <w:rsid w:val="0098360B"/>
    <w:rsid w:val="00984AD2"/>
    <w:rsid w:val="0098501A"/>
    <w:rsid w:val="00991374"/>
    <w:rsid w:val="009919FA"/>
    <w:rsid w:val="009938D0"/>
    <w:rsid w:val="00996792"/>
    <w:rsid w:val="009973B4"/>
    <w:rsid w:val="0099778B"/>
    <w:rsid w:val="00997D3B"/>
    <w:rsid w:val="009A1388"/>
    <w:rsid w:val="009A2A76"/>
    <w:rsid w:val="009A6DAC"/>
    <w:rsid w:val="009A6E23"/>
    <w:rsid w:val="009B12DF"/>
    <w:rsid w:val="009B13DE"/>
    <w:rsid w:val="009C28C1"/>
    <w:rsid w:val="009C3C32"/>
    <w:rsid w:val="009C3F78"/>
    <w:rsid w:val="009C63C0"/>
    <w:rsid w:val="009D3C30"/>
    <w:rsid w:val="009E1E74"/>
    <w:rsid w:val="009E711B"/>
    <w:rsid w:val="009E7DAB"/>
    <w:rsid w:val="009F4F7A"/>
    <w:rsid w:val="009F65F2"/>
    <w:rsid w:val="009F7EED"/>
    <w:rsid w:val="00A00A1B"/>
    <w:rsid w:val="00A02776"/>
    <w:rsid w:val="00A045AD"/>
    <w:rsid w:val="00A06B44"/>
    <w:rsid w:val="00A23456"/>
    <w:rsid w:val="00A26D2E"/>
    <w:rsid w:val="00A36E63"/>
    <w:rsid w:val="00A4388C"/>
    <w:rsid w:val="00A5297F"/>
    <w:rsid w:val="00A66A41"/>
    <w:rsid w:val="00A7744D"/>
    <w:rsid w:val="00A80636"/>
    <w:rsid w:val="00A81821"/>
    <w:rsid w:val="00A90B79"/>
    <w:rsid w:val="00A913C4"/>
    <w:rsid w:val="00A928C2"/>
    <w:rsid w:val="00A97E4A"/>
    <w:rsid w:val="00AA1D76"/>
    <w:rsid w:val="00AB4D1E"/>
    <w:rsid w:val="00AC1BC1"/>
    <w:rsid w:val="00AC4949"/>
    <w:rsid w:val="00AC68C7"/>
    <w:rsid w:val="00AD034E"/>
    <w:rsid w:val="00AD0EC4"/>
    <w:rsid w:val="00AD198E"/>
    <w:rsid w:val="00AD6100"/>
    <w:rsid w:val="00AE666F"/>
    <w:rsid w:val="00AF0AAB"/>
    <w:rsid w:val="00AF14C1"/>
    <w:rsid w:val="00AF2A02"/>
    <w:rsid w:val="00AF70D0"/>
    <w:rsid w:val="00B03F55"/>
    <w:rsid w:val="00B10599"/>
    <w:rsid w:val="00B16E75"/>
    <w:rsid w:val="00B172A3"/>
    <w:rsid w:val="00B23912"/>
    <w:rsid w:val="00B332F3"/>
    <w:rsid w:val="00B34C96"/>
    <w:rsid w:val="00B3717F"/>
    <w:rsid w:val="00B420B0"/>
    <w:rsid w:val="00B52A1C"/>
    <w:rsid w:val="00B562AC"/>
    <w:rsid w:val="00B60BA1"/>
    <w:rsid w:val="00B676FA"/>
    <w:rsid w:val="00B83A80"/>
    <w:rsid w:val="00B85050"/>
    <w:rsid w:val="00B95915"/>
    <w:rsid w:val="00B964C9"/>
    <w:rsid w:val="00BA051C"/>
    <w:rsid w:val="00BB0556"/>
    <w:rsid w:val="00BB0C7F"/>
    <w:rsid w:val="00BB1D4F"/>
    <w:rsid w:val="00BB244F"/>
    <w:rsid w:val="00BB68FA"/>
    <w:rsid w:val="00BC69E6"/>
    <w:rsid w:val="00BD294A"/>
    <w:rsid w:val="00BD6339"/>
    <w:rsid w:val="00BE0AE6"/>
    <w:rsid w:val="00BE18D2"/>
    <w:rsid w:val="00BF597E"/>
    <w:rsid w:val="00C02664"/>
    <w:rsid w:val="00C04312"/>
    <w:rsid w:val="00C13365"/>
    <w:rsid w:val="00C169E4"/>
    <w:rsid w:val="00C30C1C"/>
    <w:rsid w:val="00C33EE7"/>
    <w:rsid w:val="00C377F9"/>
    <w:rsid w:val="00C4279D"/>
    <w:rsid w:val="00C42C3F"/>
    <w:rsid w:val="00C4788E"/>
    <w:rsid w:val="00C51A36"/>
    <w:rsid w:val="00C5226A"/>
    <w:rsid w:val="00C55228"/>
    <w:rsid w:val="00C578D1"/>
    <w:rsid w:val="00C6092A"/>
    <w:rsid w:val="00C6471E"/>
    <w:rsid w:val="00C6635F"/>
    <w:rsid w:val="00C66D94"/>
    <w:rsid w:val="00C90E8D"/>
    <w:rsid w:val="00C95BAB"/>
    <w:rsid w:val="00CA01C2"/>
    <w:rsid w:val="00CB31DF"/>
    <w:rsid w:val="00CB7CE8"/>
    <w:rsid w:val="00CC47D4"/>
    <w:rsid w:val="00CD1E1F"/>
    <w:rsid w:val="00CE0426"/>
    <w:rsid w:val="00CE315A"/>
    <w:rsid w:val="00CE4603"/>
    <w:rsid w:val="00CE5534"/>
    <w:rsid w:val="00CE5C53"/>
    <w:rsid w:val="00CE5F0F"/>
    <w:rsid w:val="00CF16D5"/>
    <w:rsid w:val="00CF2CBF"/>
    <w:rsid w:val="00CF78B8"/>
    <w:rsid w:val="00D04A86"/>
    <w:rsid w:val="00D06F59"/>
    <w:rsid w:val="00D2329B"/>
    <w:rsid w:val="00D341BF"/>
    <w:rsid w:val="00D4158E"/>
    <w:rsid w:val="00D41EC0"/>
    <w:rsid w:val="00D6218E"/>
    <w:rsid w:val="00D629BD"/>
    <w:rsid w:val="00D63628"/>
    <w:rsid w:val="00D70902"/>
    <w:rsid w:val="00D72461"/>
    <w:rsid w:val="00D7365D"/>
    <w:rsid w:val="00D80790"/>
    <w:rsid w:val="00D8388C"/>
    <w:rsid w:val="00D84D27"/>
    <w:rsid w:val="00D93FE1"/>
    <w:rsid w:val="00DA10EE"/>
    <w:rsid w:val="00DA2E0E"/>
    <w:rsid w:val="00DA557A"/>
    <w:rsid w:val="00DB775E"/>
    <w:rsid w:val="00DC07AC"/>
    <w:rsid w:val="00DC541B"/>
    <w:rsid w:val="00DC6C6C"/>
    <w:rsid w:val="00DD24C5"/>
    <w:rsid w:val="00DE2E42"/>
    <w:rsid w:val="00DF66F8"/>
    <w:rsid w:val="00E0608A"/>
    <w:rsid w:val="00E07EAB"/>
    <w:rsid w:val="00E16C9D"/>
    <w:rsid w:val="00E43ADA"/>
    <w:rsid w:val="00E53A07"/>
    <w:rsid w:val="00E5543E"/>
    <w:rsid w:val="00E57A69"/>
    <w:rsid w:val="00E60237"/>
    <w:rsid w:val="00E6224C"/>
    <w:rsid w:val="00E625F5"/>
    <w:rsid w:val="00E64311"/>
    <w:rsid w:val="00E72BB7"/>
    <w:rsid w:val="00E731AD"/>
    <w:rsid w:val="00E816C9"/>
    <w:rsid w:val="00E865B7"/>
    <w:rsid w:val="00E87B4D"/>
    <w:rsid w:val="00E87E1D"/>
    <w:rsid w:val="00E92BA2"/>
    <w:rsid w:val="00E94492"/>
    <w:rsid w:val="00E94B48"/>
    <w:rsid w:val="00E9595C"/>
    <w:rsid w:val="00E95F99"/>
    <w:rsid w:val="00EA5E3D"/>
    <w:rsid w:val="00EA7FA1"/>
    <w:rsid w:val="00EB0164"/>
    <w:rsid w:val="00EC0A07"/>
    <w:rsid w:val="00EC49AA"/>
    <w:rsid w:val="00EC4DB3"/>
    <w:rsid w:val="00EC4FFF"/>
    <w:rsid w:val="00ED0F62"/>
    <w:rsid w:val="00ED347E"/>
    <w:rsid w:val="00ED6489"/>
    <w:rsid w:val="00EF6EAF"/>
    <w:rsid w:val="00EF7895"/>
    <w:rsid w:val="00F071F8"/>
    <w:rsid w:val="00F13124"/>
    <w:rsid w:val="00F151A1"/>
    <w:rsid w:val="00F15EDA"/>
    <w:rsid w:val="00F22094"/>
    <w:rsid w:val="00F25B7A"/>
    <w:rsid w:val="00F40E85"/>
    <w:rsid w:val="00F417D8"/>
    <w:rsid w:val="00F45327"/>
    <w:rsid w:val="00F4627E"/>
    <w:rsid w:val="00F50AC6"/>
    <w:rsid w:val="00F55FA2"/>
    <w:rsid w:val="00F602FA"/>
    <w:rsid w:val="00F74E05"/>
    <w:rsid w:val="00F770C8"/>
    <w:rsid w:val="00F77E70"/>
    <w:rsid w:val="00F81037"/>
    <w:rsid w:val="00FA49DF"/>
    <w:rsid w:val="00FA4AB6"/>
    <w:rsid w:val="00FA55A3"/>
    <w:rsid w:val="00FA564E"/>
    <w:rsid w:val="00FB1A9D"/>
    <w:rsid w:val="00FB1DE9"/>
    <w:rsid w:val="00FB6EE1"/>
    <w:rsid w:val="00FC14A8"/>
    <w:rsid w:val="00FC4409"/>
    <w:rsid w:val="00FC4782"/>
    <w:rsid w:val="00FD788F"/>
    <w:rsid w:val="00FE4FEF"/>
    <w:rsid w:val="00FF5C26"/>
    <w:rsid w:val="01114D62"/>
    <w:rsid w:val="01844AEC"/>
    <w:rsid w:val="019B6EB2"/>
    <w:rsid w:val="01C62C9D"/>
    <w:rsid w:val="01EA5D24"/>
    <w:rsid w:val="023845BC"/>
    <w:rsid w:val="03526155"/>
    <w:rsid w:val="03A405DC"/>
    <w:rsid w:val="047C6285"/>
    <w:rsid w:val="0507210E"/>
    <w:rsid w:val="056A1970"/>
    <w:rsid w:val="06266C0B"/>
    <w:rsid w:val="06B82C63"/>
    <w:rsid w:val="07E37166"/>
    <w:rsid w:val="082D004A"/>
    <w:rsid w:val="089B0DD1"/>
    <w:rsid w:val="08A43AFA"/>
    <w:rsid w:val="08E4623B"/>
    <w:rsid w:val="09603F37"/>
    <w:rsid w:val="09953678"/>
    <w:rsid w:val="0A4F1957"/>
    <w:rsid w:val="0AE941DE"/>
    <w:rsid w:val="0B0C426A"/>
    <w:rsid w:val="0BE65F1E"/>
    <w:rsid w:val="0CAF2AB2"/>
    <w:rsid w:val="0E4303A2"/>
    <w:rsid w:val="0EA27328"/>
    <w:rsid w:val="0EDF3011"/>
    <w:rsid w:val="0EF62462"/>
    <w:rsid w:val="0F1336CC"/>
    <w:rsid w:val="0F190FB7"/>
    <w:rsid w:val="0FCE7A3F"/>
    <w:rsid w:val="105416D3"/>
    <w:rsid w:val="106138CD"/>
    <w:rsid w:val="107D498F"/>
    <w:rsid w:val="108219C2"/>
    <w:rsid w:val="1171237C"/>
    <w:rsid w:val="11C56611"/>
    <w:rsid w:val="123766D8"/>
    <w:rsid w:val="12621C19"/>
    <w:rsid w:val="12C36D19"/>
    <w:rsid w:val="12F45B84"/>
    <w:rsid w:val="136A3CD6"/>
    <w:rsid w:val="149C1219"/>
    <w:rsid w:val="151256A3"/>
    <w:rsid w:val="154D4907"/>
    <w:rsid w:val="15763503"/>
    <w:rsid w:val="15DB6677"/>
    <w:rsid w:val="163455B5"/>
    <w:rsid w:val="1703646A"/>
    <w:rsid w:val="175F716B"/>
    <w:rsid w:val="18BE5E4D"/>
    <w:rsid w:val="1948253B"/>
    <w:rsid w:val="1A757A77"/>
    <w:rsid w:val="1AA1549C"/>
    <w:rsid w:val="1AE94B57"/>
    <w:rsid w:val="1B9362AC"/>
    <w:rsid w:val="1C9F326D"/>
    <w:rsid w:val="1D177543"/>
    <w:rsid w:val="1D970EDF"/>
    <w:rsid w:val="1EEF6EF8"/>
    <w:rsid w:val="201E0B25"/>
    <w:rsid w:val="20F34B18"/>
    <w:rsid w:val="21126834"/>
    <w:rsid w:val="219E4F7E"/>
    <w:rsid w:val="21B83CC5"/>
    <w:rsid w:val="22D4246A"/>
    <w:rsid w:val="23585890"/>
    <w:rsid w:val="2390375D"/>
    <w:rsid w:val="23E324D0"/>
    <w:rsid w:val="23F72AE8"/>
    <w:rsid w:val="240000DA"/>
    <w:rsid w:val="2449350D"/>
    <w:rsid w:val="245F1FEB"/>
    <w:rsid w:val="24694B76"/>
    <w:rsid w:val="25680E70"/>
    <w:rsid w:val="25681C16"/>
    <w:rsid w:val="25976C16"/>
    <w:rsid w:val="25CA2223"/>
    <w:rsid w:val="25E526C1"/>
    <w:rsid w:val="260852A3"/>
    <w:rsid w:val="26BC5958"/>
    <w:rsid w:val="26E64AC1"/>
    <w:rsid w:val="26F601C2"/>
    <w:rsid w:val="277A25DC"/>
    <w:rsid w:val="28503CDA"/>
    <w:rsid w:val="28562704"/>
    <w:rsid w:val="2862230B"/>
    <w:rsid w:val="28E14D25"/>
    <w:rsid w:val="29022CA4"/>
    <w:rsid w:val="299B4176"/>
    <w:rsid w:val="29A85F35"/>
    <w:rsid w:val="29C6711B"/>
    <w:rsid w:val="2A440C6B"/>
    <w:rsid w:val="2AEE4143"/>
    <w:rsid w:val="2B54484C"/>
    <w:rsid w:val="2B670278"/>
    <w:rsid w:val="2EB73EDC"/>
    <w:rsid w:val="2EF1765E"/>
    <w:rsid w:val="2F1934D2"/>
    <w:rsid w:val="2F4E6D9C"/>
    <w:rsid w:val="30267309"/>
    <w:rsid w:val="30313BE8"/>
    <w:rsid w:val="309678ED"/>
    <w:rsid w:val="30A20069"/>
    <w:rsid w:val="31214A0E"/>
    <w:rsid w:val="3207117D"/>
    <w:rsid w:val="32407BA9"/>
    <w:rsid w:val="329C70B1"/>
    <w:rsid w:val="33090A3E"/>
    <w:rsid w:val="333744A5"/>
    <w:rsid w:val="3367053D"/>
    <w:rsid w:val="339B758A"/>
    <w:rsid w:val="347535C5"/>
    <w:rsid w:val="348E7F9C"/>
    <w:rsid w:val="350E4460"/>
    <w:rsid w:val="357D36B2"/>
    <w:rsid w:val="359D0662"/>
    <w:rsid w:val="360B5898"/>
    <w:rsid w:val="364C63D8"/>
    <w:rsid w:val="367E58D5"/>
    <w:rsid w:val="38EC6AD0"/>
    <w:rsid w:val="390B7A78"/>
    <w:rsid w:val="39340EF8"/>
    <w:rsid w:val="39393D03"/>
    <w:rsid w:val="39964B53"/>
    <w:rsid w:val="39F47DEE"/>
    <w:rsid w:val="3AA43404"/>
    <w:rsid w:val="3AF759E0"/>
    <w:rsid w:val="3C1F2989"/>
    <w:rsid w:val="3C32685A"/>
    <w:rsid w:val="3CB267D0"/>
    <w:rsid w:val="3CEF4043"/>
    <w:rsid w:val="3D281C23"/>
    <w:rsid w:val="3D3D002A"/>
    <w:rsid w:val="3D6261F0"/>
    <w:rsid w:val="3DB96937"/>
    <w:rsid w:val="3DBA4A71"/>
    <w:rsid w:val="3DC542F9"/>
    <w:rsid w:val="3E2D0997"/>
    <w:rsid w:val="3F6D6259"/>
    <w:rsid w:val="3F727618"/>
    <w:rsid w:val="3F7E2768"/>
    <w:rsid w:val="3FA33F17"/>
    <w:rsid w:val="3FF90BE5"/>
    <w:rsid w:val="409C0010"/>
    <w:rsid w:val="40E53911"/>
    <w:rsid w:val="410153E5"/>
    <w:rsid w:val="410A3356"/>
    <w:rsid w:val="41D5560B"/>
    <w:rsid w:val="43400AEE"/>
    <w:rsid w:val="43E420EE"/>
    <w:rsid w:val="441A2FF5"/>
    <w:rsid w:val="44453580"/>
    <w:rsid w:val="456B6F05"/>
    <w:rsid w:val="45A41779"/>
    <w:rsid w:val="466C69B3"/>
    <w:rsid w:val="46AA70EC"/>
    <w:rsid w:val="47EF7DE4"/>
    <w:rsid w:val="48460DBC"/>
    <w:rsid w:val="484D0229"/>
    <w:rsid w:val="48B2529B"/>
    <w:rsid w:val="48BD5528"/>
    <w:rsid w:val="48F95646"/>
    <w:rsid w:val="4A7A6462"/>
    <w:rsid w:val="4A8171B5"/>
    <w:rsid w:val="4AE20109"/>
    <w:rsid w:val="4AF52851"/>
    <w:rsid w:val="4B37397C"/>
    <w:rsid w:val="4BD24BB5"/>
    <w:rsid w:val="4CB3080D"/>
    <w:rsid w:val="4CC06FE3"/>
    <w:rsid w:val="4D7900FD"/>
    <w:rsid w:val="4D81015E"/>
    <w:rsid w:val="4DB220FC"/>
    <w:rsid w:val="4DF43DB8"/>
    <w:rsid w:val="4E352D7C"/>
    <w:rsid w:val="4EAC5714"/>
    <w:rsid w:val="4EC64FE9"/>
    <w:rsid w:val="4F18258D"/>
    <w:rsid w:val="4F262965"/>
    <w:rsid w:val="50737DDC"/>
    <w:rsid w:val="508F2C6C"/>
    <w:rsid w:val="51BA4361"/>
    <w:rsid w:val="51DA6F19"/>
    <w:rsid w:val="523336FD"/>
    <w:rsid w:val="5294217B"/>
    <w:rsid w:val="535E3E9F"/>
    <w:rsid w:val="536B3E0D"/>
    <w:rsid w:val="5380135F"/>
    <w:rsid w:val="53A67598"/>
    <w:rsid w:val="540F1247"/>
    <w:rsid w:val="54155713"/>
    <w:rsid w:val="545214DD"/>
    <w:rsid w:val="54E00511"/>
    <w:rsid w:val="555F2B84"/>
    <w:rsid w:val="556A6692"/>
    <w:rsid w:val="55711406"/>
    <w:rsid w:val="557D33F2"/>
    <w:rsid w:val="55924ABC"/>
    <w:rsid w:val="55A67EDF"/>
    <w:rsid w:val="55BF0A10"/>
    <w:rsid w:val="55D907E1"/>
    <w:rsid w:val="56681560"/>
    <w:rsid w:val="56BB1B9C"/>
    <w:rsid w:val="586F5879"/>
    <w:rsid w:val="595B4CDB"/>
    <w:rsid w:val="599C062D"/>
    <w:rsid w:val="59F94502"/>
    <w:rsid w:val="5A5631F0"/>
    <w:rsid w:val="5B33577F"/>
    <w:rsid w:val="5B6365FD"/>
    <w:rsid w:val="5B8B6DC4"/>
    <w:rsid w:val="5C12206C"/>
    <w:rsid w:val="5D1F7D79"/>
    <w:rsid w:val="5DCD3A61"/>
    <w:rsid w:val="5DFC1A4A"/>
    <w:rsid w:val="5E181A31"/>
    <w:rsid w:val="5E2D3046"/>
    <w:rsid w:val="5E40339C"/>
    <w:rsid w:val="5E5B4DDD"/>
    <w:rsid w:val="5EA12B9A"/>
    <w:rsid w:val="5EB86F9E"/>
    <w:rsid w:val="5EFF418A"/>
    <w:rsid w:val="5F301FFD"/>
    <w:rsid w:val="5F48285D"/>
    <w:rsid w:val="5F54219A"/>
    <w:rsid w:val="5F6E6EF7"/>
    <w:rsid w:val="5FA0076E"/>
    <w:rsid w:val="60411CBE"/>
    <w:rsid w:val="60AF1446"/>
    <w:rsid w:val="615216BC"/>
    <w:rsid w:val="6198661E"/>
    <w:rsid w:val="61D21803"/>
    <w:rsid w:val="61F70052"/>
    <w:rsid w:val="61F83974"/>
    <w:rsid w:val="623E51B7"/>
    <w:rsid w:val="625773D3"/>
    <w:rsid w:val="632D7B60"/>
    <w:rsid w:val="646F7BFA"/>
    <w:rsid w:val="64F318AD"/>
    <w:rsid w:val="65A062E5"/>
    <w:rsid w:val="66616006"/>
    <w:rsid w:val="6671625F"/>
    <w:rsid w:val="667326C0"/>
    <w:rsid w:val="668B60A2"/>
    <w:rsid w:val="670229CE"/>
    <w:rsid w:val="6737170F"/>
    <w:rsid w:val="67991500"/>
    <w:rsid w:val="67B21E77"/>
    <w:rsid w:val="67B92B15"/>
    <w:rsid w:val="68575163"/>
    <w:rsid w:val="68A857AA"/>
    <w:rsid w:val="68BD52BB"/>
    <w:rsid w:val="68C51FBF"/>
    <w:rsid w:val="68F97B37"/>
    <w:rsid w:val="69183BC9"/>
    <w:rsid w:val="696101CC"/>
    <w:rsid w:val="69703926"/>
    <w:rsid w:val="697E1447"/>
    <w:rsid w:val="6A2B69EB"/>
    <w:rsid w:val="6A6A0261"/>
    <w:rsid w:val="6AE81EB2"/>
    <w:rsid w:val="6AEA7BA1"/>
    <w:rsid w:val="6B0B1211"/>
    <w:rsid w:val="6B3432D4"/>
    <w:rsid w:val="6B983632"/>
    <w:rsid w:val="6BB83A69"/>
    <w:rsid w:val="6BBE6BC6"/>
    <w:rsid w:val="6BDC07FE"/>
    <w:rsid w:val="6C290851"/>
    <w:rsid w:val="6C496860"/>
    <w:rsid w:val="6D4823B1"/>
    <w:rsid w:val="6D694F22"/>
    <w:rsid w:val="6DD76C53"/>
    <w:rsid w:val="6DFA0E9A"/>
    <w:rsid w:val="6E4545D9"/>
    <w:rsid w:val="6EEA365D"/>
    <w:rsid w:val="6EEB315E"/>
    <w:rsid w:val="6F0F7429"/>
    <w:rsid w:val="6F4207D7"/>
    <w:rsid w:val="6F8A21BD"/>
    <w:rsid w:val="6FAF5B0D"/>
    <w:rsid w:val="6FC938BF"/>
    <w:rsid w:val="70366A53"/>
    <w:rsid w:val="706311D0"/>
    <w:rsid w:val="707442E9"/>
    <w:rsid w:val="7105245F"/>
    <w:rsid w:val="711D6078"/>
    <w:rsid w:val="71593BA4"/>
    <w:rsid w:val="719E349F"/>
    <w:rsid w:val="71BD23DC"/>
    <w:rsid w:val="720A2724"/>
    <w:rsid w:val="724B0C3A"/>
    <w:rsid w:val="7307268C"/>
    <w:rsid w:val="734A14E3"/>
    <w:rsid w:val="73A464CB"/>
    <w:rsid w:val="73AC032E"/>
    <w:rsid w:val="752C33AA"/>
    <w:rsid w:val="75DF37C0"/>
    <w:rsid w:val="75E77170"/>
    <w:rsid w:val="760571DC"/>
    <w:rsid w:val="77021557"/>
    <w:rsid w:val="77494BFA"/>
    <w:rsid w:val="778A5514"/>
    <w:rsid w:val="77960A83"/>
    <w:rsid w:val="77D60A90"/>
    <w:rsid w:val="77DB37E2"/>
    <w:rsid w:val="7816746E"/>
    <w:rsid w:val="78485693"/>
    <w:rsid w:val="795F3FF4"/>
    <w:rsid w:val="79D943AB"/>
    <w:rsid w:val="7AA52DE4"/>
    <w:rsid w:val="7AC213E6"/>
    <w:rsid w:val="7AFF7F5C"/>
    <w:rsid w:val="7C1454F1"/>
    <w:rsid w:val="7C5F06DA"/>
    <w:rsid w:val="7CA67414"/>
    <w:rsid w:val="7CC31FC8"/>
    <w:rsid w:val="7D100C57"/>
    <w:rsid w:val="7E3F6593"/>
    <w:rsid w:val="7EB633A8"/>
    <w:rsid w:val="7F8F6EC9"/>
    <w:rsid w:val="7F926403"/>
    <w:rsid w:val="7FBF4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spacing w:line="360" w:lineRule="auto"/>
      <w:ind w:firstLine="420"/>
    </w:pPr>
    <w:rPr>
      <w:sz w:val="24"/>
      <w:szCs w:val="21"/>
    </w:rPr>
  </w:style>
  <w:style w:type="paragraph" w:styleId="5">
    <w:name w:val="Plain Text"/>
    <w:basedOn w:val="1"/>
    <w:link w:val="20"/>
    <w:uiPriority w:val="0"/>
    <w:rPr>
      <w:rFonts w:ascii="宋体" w:hAnsi="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ind w:firstLine="360"/>
      <w:jc w:val="both"/>
    </w:pPr>
    <w:rPr>
      <w:rFonts w:asciiTheme="minorHAnsi" w:hAnsiTheme="minorHAnsi" w:eastAsiaTheme="minorEastAsia" w:cstheme="minorBidi"/>
      <w:sz w:val="22"/>
      <w:szCs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link w:val="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Default Char"/>
    <w:link w:val="18"/>
    <w:qFormat/>
    <w:locked/>
    <w:uiPriority w:val="0"/>
    <w:rPr>
      <w:color w:val="000000"/>
      <w:sz w:val="24"/>
      <w:szCs w:val="24"/>
    </w:rPr>
  </w:style>
  <w:style w:type="character" w:customStyle="1" w:styleId="20">
    <w:name w:val="纯文本 Char"/>
    <w:link w:val="5"/>
    <w:qFormat/>
    <w:uiPriority w:val="0"/>
    <w:rPr>
      <w:rFonts w:ascii="宋体" w:hAnsi="Courier New"/>
      <w:szCs w:val="21"/>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C0F93-D32E-45B5-AC95-7B92968A8891}">
  <ds:schemaRefs/>
</ds:datastoreItem>
</file>

<file path=docProps/app.xml><?xml version="1.0" encoding="utf-8"?>
<Properties xmlns="http://schemas.openxmlformats.org/officeDocument/2006/extended-properties" xmlns:vt="http://schemas.openxmlformats.org/officeDocument/2006/docPropsVTypes">
  <Template>Normal</Template>
  <Pages>12</Pages>
  <Words>1407</Words>
  <Characters>8021</Characters>
  <Lines>66</Lines>
  <Paragraphs>18</Paragraphs>
  <TotalTime>0</TotalTime>
  <ScaleCrop>false</ScaleCrop>
  <LinksUpToDate>false</LinksUpToDate>
  <CharactersWithSpaces>9410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2020-10-10T13:24:49Z</dcterms:modified>
  <cp:revision>2027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