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546"/>
        <w:gridCol w:w="1114"/>
        <w:gridCol w:w="1818"/>
        <w:gridCol w:w="1165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0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四川鹤达石油化工工程有限公司</w:t>
            </w:r>
            <w:bookmarkEnd w:id="4"/>
          </w:p>
        </w:tc>
        <w:tc>
          <w:tcPr>
            <w:tcW w:w="116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5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O：28.07.03;29.10.07;34.05.00;35.04.02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E：28.07.03;29.10.07;34.05.00;35.04.02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28.07.03;29.10.07;34.05.00;35.04.02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工程总承包流程：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招投标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制订方案</w:t>
            </w:r>
            <w:r>
              <w:rPr>
                <w:rFonts w:ascii="宋体" w:hAnsi="宋体"/>
                <w:szCs w:val="21"/>
              </w:rPr>
              <w:t>————</w:t>
            </w:r>
            <w:r>
              <w:rPr>
                <w:rFonts w:hint="eastAsia" w:ascii="宋体" w:hAnsi="宋体"/>
                <w:szCs w:val="21"/>
              </w:rPr>
              <w:t>签订协议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实施合同/协议——竣工验收。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制订方案、实施合同为关键过程。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工程管理服务流程: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服务需求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提供方案</w:t>
            </w:r>
            <w:r>
              <w:rPr>
                <w:rFonts w:ascii="宋体" w:hAnsi="宋体"/>
                <w:szCs w:val="21"/>
              </w:rPr>
              <w:t>————</w:t>
            </w:r>
            <w:r>
              <w:rPr>
                <w:rFonts w:hint="eastAsia" w:ascii="宋体" w:hAnsi="宋体"/>
                <w:szCs w:val="21"/>
              </w:rPr>
              <w:t>签订协议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实施合同/协议——管理服务。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提供方案、管理服务为关键过程。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化工专用设备设计、销售流程：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确定客户需求</w:t>
            </w:r>
            <w:r>
              <w:rPr>
                <w:rFonts w:hint="eastAsia" w:ascii="宋体" w:hAnsi="宋体"/>
                <w:szCs w:val="21"/>
              </w:rPr>
              <w:t>——合同签订——设计或采购——验证或检验——交付——售后服务。</w:t>
            </w:r>
          </w:p>
          <w:p>
            <w:pPr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设计、销售为关键过程。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施工、设计和销售过程为关键过程。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固废、噪声、粉尘和潜在火灾，采取分类收集、管理方案和预案措施管理。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触电、火灾、职业病和意外伤害，采取制定管理方案控制，潜在火灾采取应急预案并演练方式进行控制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</w:t>
            </w:r>
            <w:r>
              <w:fldChar w:fldCharType="begin"/>
            </w:r>
            <w:r>
              <w:instrText xml:space="preserve"> HYPERLINK "http://www.qseek.net/chinalaw/search-detail.php?TopicID=1&amp;id=OTgyMzU3MzUwMzU1NTM1NTQwOTcz"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建设工程质量管理条例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"http://www.cin.gov.cn/law/depart/2000110611-00.htm"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建设工程施工现场管理规定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2020年9月19日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C9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2020-09-17T14:06:54Z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