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市场部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主管领导：费翊辰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王央央、吴姝华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Arial"/>
                <w:szCs w:val="21"/>
              </w:rPr>
              <w:t>2020年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cs="Arial"/>
                <w:szCs w:val="21"/>
              </w:rPr>
              <w:t xml:space="preserve">日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QEO:5.3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组织的角色、职责和权限</w:t>
            </w:r>
            <w:r>
              <w:rPr>
                <w:rFonts w:hint="eastAsia"/>
                <w:sz w:val="21"/>
                <w:szCs w:val="21"/>
              </w:rPr>
              <w:t>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目标及实现的策划</w:t>
            </w:r>
            <w:r>
              <w:rPr>
                <w:rFonts w:hint="eastAsia"/>
                <w:sz w:val="21"/>
                <w:szCs w:val="21"/>
              </w:rPr>
              <w:t>/7.4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Q:8.2.1顾客沟通/8.2.2与产品和销售服务有关的要求的确定/8.2.3与产品和销售服务有关的要求的评审/8.2.4产品、销售服务要求的更改/9.1.2顾客满意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EO: 6.1.2环境因素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危险源识别与评价/6.1.4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措施的策划</w:t>
            </w:r>
            <w:r>
              <w:rPr>
                <w:rFonts w:hint="eastAsia"/>
                <w:sz w:val="21"/>
                <w:szCs w:val="21"/>
              </w:rPr>
              <w:t>/8.1运行策划和控制/8.2应急准备和响应/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Cs w:val="21"/>
                <w:lang w:val="en-US" w:eastAsia="zh-CN"/>
              </w:rPr>
              <w:t>Q</w:t>
            </w:r>
            <w:r>
              <w:rPr>
                <w:rFonts w:ascii="宋体" w:hAnsi="宋体" w:cs="Arial"/>
                <w:szCs w:val="21"/>
              </w:rPr>
              <w:t>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市场部职责;</w:t>
            </w:r>
          </w:p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⑴负责与产品和销售服务有关的要求的确定；组织编制合同文件及时与顾客联系等；</w:t>
            </w:r>
          </w:p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⑵负责与产品和销售服务有关的要求的评审等；</w:t>
            </w:r>
          </w:p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⑶负责市场调查，信息收集、销售服务工作等。</w:t>
            </w:r>
          </w:p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⑷负责销售服务提供的控制、销售服务质量监督管理及不合格销售服务的控制等；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⑸负责顾客财产、产品防护等。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 w:cs="Arial"/>
                <w:szCs w:val="21"/>
              </w:rPr>
              <w:t>环境、职业健康安全目标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Cs w:val="21"/>
                <w:lang w:val="en-US" w:eastAsia="zh-CN"/>
              </w:rPr>
              <w:t>Q</w:t>
            </w:r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市场部</w:t>
            </w:r>
            <w:r>
              <w:rPr>
                <w:rFonts w:hint="eastAsia"/>
                <w:color w:val="000000"/>
                <w:szCs w:val="21"/>
                <w:highlight w:val="none"/>
              </w:rPr>
              <w:t>管理目标及实现情况：</w:t>
            </w:r>
          </w:p>
          <w:tbl>
            <w:tblPr>
              <w:tblStyle w:val="6"/>
              <w:tblpPr w:leftFromText="180" w:rightFromText="180" w:vertAnchor="text" w:horzAnchor="page" w:tblpX="567" w:tblpY="9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23"/>
              <w:gridCol w:w="4289"/>
              <w:gridCol w:w="13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default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目标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default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考核方式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default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1合同履约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  <w:t>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履约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率＝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合同总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数÷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履约总数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2.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eastAsia="zh-CN"/>
                    </w:rPr>
                    <w:t>顾客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  <w:t>投诉处理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及时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  <w:t>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99%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有效投诉处理率＝有效投诉处理数÷顾客有效投诉总数×100%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3.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  <w:t>顾客满意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eastAsia="zh-CN"/>
                    </w:rPr>
                    <w:t>率≥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95%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满意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率＝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顾客满意分数总数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÷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每份的分数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98.5%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．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/>
                    </w:rPr>
                    <w:t>办公场所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分类处理各类废弃物，有专门收集箱并标识，回收处理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/>
                    </w:rPr>
                    <w:t>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≥9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9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%.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处理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率＝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应回收处理总数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÷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处理率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100%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目标可测量，基本符合部门工作职责，管理目标完成情况：查到20</w:t>
            </w:r>
            <w:r>
              <w:rPr>
                <w:color w:val="000000"/>
                <w:szCs w:val="21"/>
                <w:highlight w:val="none"/>
              </w:rPr>
              <w:t>20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部门管理目标完成情况。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环境目标、指标/职业健康安全目标与管理方案及实施情况一览表，内容涉及主要措施、责任部门、经费、时间要求、实施情况等。如加强对办公、生产过程固废的管理，合理回收，统一处理。建立固体废弃物处理作业文件，进行相关培训；配置垃圾桶，实施分类存放；一般生活垃圾，由环卫所统一清运；办公区复印机废墨盒、废电池等危险固废，各部门统一交给办公室，在公司封存，定期交有资格处理的单位处理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下脚料及废次品用于出售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查看员工培训记录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20200420质量、环境管理体系文件培训，有针对三级管理文件的培训，三级管理文件《固体废物管理规定》，通过对环境管理体系文件的培训，各岗位人员熟悉了质量、环境管理体系文件的基本内容和各类文件的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信息交流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</w:t>
            </w:r>
            <w:r>
              <w:rPr>
                <w:rFonts w:ascii="宋体" w:hAnsi="宋体" w:cs="Arial"/>
                <w:szCs w:val="21"/>
              </w:rPr>
              <w:t>EO: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7.4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提供了《</w:t>
            </w:r>
            <w:r>
              <w:rPr>
                <w:rFonts w:hint="eastAsia"/>
                <w:color w:val="000000"/>
                <w:szCs w:val="21"/>
              </w:rPr>
              <w:t>信息交流管理程序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》对日常运行中产生的质量/环境/职业健康安全管理信息，对外、对内的交流途径和处置方法进行规定和管理，以使公司质量/环境/职业健康安全管理方面的信息得到及时的交流、沟通和处理。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内部交流信息：通过方针、目标的沟通，紧急情况的信息、员工的投诉抱怨等。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查环境管理体系方针、目标、指标及管理方案的培训讲解，培训时间2020-4-9。要求全员掌握企业环境方针、目标、指标的含义内容。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外部交流信息：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顾客沟通</w:t>
            </w:r>
          </w:p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与产品和销售服务有关的要求的确定</w:t>
            </w:r>
          </w:p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与产品和销售服务有关的要求的评审</w:t>
            </w:r>
          </w:p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产品和服务要求的更改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Q8.2.1</w:t>
            </w:r>
          </w:p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Q8.2.2</w:t>
            </w:r>
          </w:p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Q8.2.3</w:t>
            </w:r>
          </w:p>
          <w:p>
            <w:pPr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Q8.2.4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提供了《与顾客有关过程管理程序》规定对顾客要求的识别，产品、服务要求的评审与顾客沟通的内容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与要求以及产品、服务的提供，确保与顾客有关过程得到有效控制，从而使顾客满意。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确认与顾客沟通内容与方式：有关产品、服务信息的沟通，通过市场调查访问顾客售后服务沟通；通过问询、合同的处理，使双方对沟通内容达到共识并理解一致；对顾客反馈包括顾客投诉作出反应。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与顾客提供的产品和服务：适用的法律法规要求；公司自己认为的必要要求；合同意向书、订单；顾客规定的产品和服务要求，包括有关可用性、交付和支持方面的要求及价格、交货期、服务等要求；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《空调安装》合同内容包含双方商定内容，安装、验收时间，标准要求，结算方式和期限及产品质量售后服务。例如与甲方浙江大江东杭萧绿建可见有限公司空调安装合同，安装及竣工时间2020年7月15日，2020年8月30日。安装质量标准按国家规范及行业要求，及客服要求。约定费用包含项。保修期1年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《空调清洗维修合同》合同内容包含设别的型号数量、服务方式、响应时间及承诺、时间期限、付款方式及更改的沟通要求等要求。查《合同评审表》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明度艾博幼儿园、十影亭料理音乐餐厅主要针对价格的评审。</w:t>
            </w:r>
          </w:p>
          <w:p>
            <w:pPr>
              <w:spacing w:line="280" w:lineRule="exac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目前与顾客的产品和服务无更改内容。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顾客满意度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Q9.1.2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提供了</w:t>
            </w:r>
            <w:r>
              <w:rPr>
                <w:rFonts w:hint="eastAsia"/>
                <w:color w:val="000000"/>
                <w:szCs w:val="21"/>
              </w:rPr>
              <w:t>《顾客满意度监测管理程序》监控顾客满意和/不满意的信息，测量质量管理体系业绩，衡量质量管理体系的有效性并明确可以改进的领域，不断提高顾客的满意程度。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《顾客满意度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/意见</w:t>
            </w:r>
            <w:r>
              <w:rPr>
                <w:rFonts w:hint="eastAsia"/>
                <w:color w:val="000000"/>
                <w:szCs w:val="21"/>
              </w:rPr>
              <w:t>调查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征询</w:t>
            </w:r>
            <w:r>
              <w:rPr>
                <w:rFonts w:hint="eastAsia"/>
                <w:color w:val="000000"/>
                <w:szCs w:val="21"/>
              </w:rPr>
              <w:t>表》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调查内容稳定性、价格、交货期、服务等方面。调查了浙江打动吴杭萧绿建科技有限公司99分、吴兴区金禾幼儿园97分、明度艾博幼儿园95分、十影亭料理音乐餐厅97分。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分析和评价</w:t>
            </w:r>
            <w:r>
              <w:rPr>
                <w:rFonts w:hint="eastAsia"/>
                <w:color w:val="000000"/>
                <w:szCs w:val="21"/>
              </w:rPr>
              <w:t>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表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中对顾客满意的程度，总结数据满意率98.5%，满意度目标未95%达标，分析除顾客对价格的满意度不太高，改进措施为加强管理，降低成本。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7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危险源识别与评价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6.1.2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6.1.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1)提供《环境因素识别与评价管理程序》用以指导进行环境因素的识别、登记评价，以确定重要环境因素以及对环境因素的定期更新，环境因素的识别和确定考虑生命周期观点。</w:t>
            </w:r>
          </w:p>
          <w:p>
            <w:pPr>
              <w:spacing w:line="280" w:lineRule="exact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提供了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/>
                <w:szCs w:val="21"/>
                <w:highlight w:val="none"/>
              </w:rPr>
              <w:t>环境因素识别评价》，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市场</w:t>
            </w:r>
            <w:r>
              <w:rPr>
                <w:rFonts w:hint="eastAsia"/>
                <w:szCs w:val="21"/>
                <w:highlight w:val="none"/>
              </w:rPr>
              <w:t>部所识别的环境因素标明时态、状态和对环境的影响；经查阅识别出对在安装施工现场中产生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水电的消耗、</w:t>
            </w:r>
            <w:r>
              <w:rPr>
                <w:rFonts w:hint="eastAsia"/>
                <w:szCs w:val="21"/>
                <w:highlight w:val="none"/>
              </w:rPr>
              <w:t>电焊的焊渣的产生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、废包装材料废弃</w:t>
            </w:r>
            <w:r>
              <w:rPr>
                <w:rFonts w:hint="eastAsia"/>
                <w:szCs w:val="21"/>
                <w:highlight w:val="none"/>
              </w:rPr>
              <w:t>等2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szCs w:val="21"/>
                <w:highlight w:val="none"/>
              </w:rPr>
              <w:t>项环境因素及考虑到环境管理体系发生变更时可能产生的环境因素。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重要环境因素采用打分法，统计综合评分方法确定重要环境因素，提供了“重要环境因素清单”：本部门的重要环境因素：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确定的重要环境因素为</w:t>
            </w:r>
            <w:r>
              <w:rPr>
                <w:rFonts w:hint="eastAsia"/>
                <w:szCs w:val="21"/>
                <w:highlight w:val="none"/>
              </w:rPr>
              <w:t>硒鼓、墨盒、色带等危险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固体废弃物的排放、潜在火灾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潜在大气污染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等为重要环境因素，并确定了相应的控制方案。</w:t>
            </w:r>
            <w:r>
              <w:rPr>
                <w:rFonts w:hint="eastAsia"/>
                <w:szCs w:val="21"/>
                <w:highlight w:val="none"/>
              </w:rPr>
              <w:t>编制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部门</w:t>
            </w:r>
            <w:r>
              <w:rPr>
                <w:rFonts w:hint="eastAsia"/>
                <w:szCs w:val="21"/>
                <w:highlight w:val="none"/>
              </w:rPr>
              <w:t>：潘菲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</w:rPr>
              <w:t>办公室；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批准</w:t>
            </w:r>
            <w:r>
              <w:rPr>
                <w:rFonts w:hint="eastAsia"/>
                <w:szCs w:val="21"/>
                <w:highlight w:val="none"/>
              </w:rPr>
              <w:t>为陈学锋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日期：2020年4月27日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）提供了公司制定《危险源辨识与风险评价控制措施管理程序》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提供了《危险源辨识、风险评价、控制策划一览表》，对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市场部</w:t>
            </w:r>
            <w:r>
              <w:rPr>
                <w:rFonts w:hint="eastAsia"/>
                <w:szCs w:val="21"/>
                <w:highlight w:val="none"/>
              </w:rPr>
              <w:t>活动场所产生的危险源辨识并进行风险评价，以确定控制措施，经查阅已辨识出市场部办公服务人员出差途中发生交通事故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服务人员出差天气热未采取措施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等危险因素。编制部门：办公室；审核为潘菲；审批为陈学锋；日期：2020年4月27日。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由各部门有管理经验的人员共同讨论、采用经验法确定不可接受风险，根据评估结果确定重大危险源为：业务人员出差途中发生交通事故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服务人员出差天气热未采取措施发生中暑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控制措施为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遵守交通规则、加强自我保护意识、加强自我保护意识。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编制部门：办公室；审核为潘菲；审批为陈学锋；日期：2020年4月27日。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60" w:type="dxa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涉及到</w:t>
            </w:r>
            <w:r>
              <w:rPr>
                <w:rFonts w:hint="eastAsia"/>
                <w:szCs w:val="21"/>
                <w:lang w:val="en-US" w:eastAsia="zh-CN"/>
              </w:rPr>
              <w:t>市场部</w:t>
            </w:r>
            <w:r>
              <w:rPr>
                <w:rFonts w:hint="eastAsia"/>
                <w:szCs w:val="21"/>
              </w:rPr>
              <w:t>部的重要环境因素主要是：固废排放、火灾；不可接受危险主要为</w:t>
            </w:r>
            <w:r>
              <w:rPr>
                <w:rFonts w:hint="eastAsia"/>
                <w:szCs w:val="21"/>
                <w:lang w:val="en-US" w:eastAsia="zh-CN"/>
              </w:rPr>
              <w:t>交通事故、</w:t>
            </w:r>
            <w:r>
              <w:rPr>
                <w:rFonts w:hint="eastAsia"/>
                <w:szCs w:val="21"/>
              </w:rPr>
              <w:t>触电、火灾、中暑等；目前</w:t>
            </w:r>
            <w:r>
              <w:rPr>
                <w:rFonts w:hint="eastAsia"/>
                <w:szCs w:val="21"/>
                <w:lang w:val="en-US" w:eastAsia="zh-CN"/>
              </w:rPr>
              <w:t>市场部</w:t>
            </w:r>
            <w:r>
              <w:rPr>
                <w:rFonts w:hint="eastAsia"/>
                <w:szCs w:val="21"/>
              </w:rPr>
              <w:t>各环境因素和危险源按照要求进行策划和管理控制：</w:t>
            </w:r>
          </w:p>
          <w:p>
            <w:pPr>
              <w:spacing w:line="28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废水管控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主要生活废水排入政府污水管网统一处理。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废气管控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办公现场基本无废气排放。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噪声管控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办公噪声主要是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空调</w:t>
            </w:r>
            <w:r>
              <w:rPr>
                <w:rFonts w:hint="eastAsia"/>
                <w:szCs w:val="21"/>
                <w:highlight w:val="none"/>
              </w:rPr>
              <w:t>运行，噪声较低，采取措施按时清洁保养。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固废管控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配置垃圾桶，实施分类存放；一般生活垃圾，由环卫所统一清运；办公区复印机废墨盒、废电池等危险固废，各部门统一交给办公室，在公司封存，定期交有资格处理的单位处理；废弃物（灰尘、油污垢）与资质方签订清运协议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统一清理。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能源资源管控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持续在公司内部进行节约用水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、用电</w:t>
            </w:r>
            <w:r>
              <w:rPr>
                <w:rFonts w:hint="eastAsia"/>
                <w:szCs w:val="21"/>
                <w:highlight w:val="none"/>
              </w:rPr>
              <w:t>宣传及张贴节约用水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节电</w:t>
            </w:r>
            <w:r>
              <w:rPr>
                <w:rFonts w:hint="eastAsia"/>
                <w:szCs w:val="21"/>
                <w:highlight w:val="none"/>
              </w:rPr>
              <w:t>标识；由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办公室</w:t>
            </w:r>
            <w:r>
              <w:rPr>
                <w:rFonts w:hint="eastAsia"/>
                <w:szCs w:val="21"/>
                <w:highlight w:val="none"/>
              </w:rPr>
              <w:t>统一处置办公固废（墨盒、硒鼓等）、检查用电安全、消防设施等。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市场部</w:t>
            </w:r>
            <w:r>
              <w:rPr>
                <w:rFonts w:hint="eastAsia"/>
                <w:szCs w:val="21"/>
                <w:highlight w:val="none"/>
              </w:rPr>
              <w:t>主要配合做好部门内的垃圾分类，下班及时做好关水断电等工作。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职业健康防护：</w:t>
            </w:r>
            <w:r>
              <w:rPr>
                <w:rFonts w:hint="eastAsia"/>
                <w:szCs w:val="21"/>
                <w:highlight w:val="none"/>
              </w:rPr>
              <w:t>持续落实劳保用品、过节费、确保月休等福利措施的实施；每年安排员工体检；确保清洁员工社保及团队意外险的落实到位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；。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与重点相关方签定关于环境、安全方面的协议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的方式</w:t>
            </w:r>
            <w:r>
              <w:rPr>
                <w:rFonts w:hint="eastAsia"/>
                <w:szCs w:val="21"/>
                <w:highlight w:val="none"/>
              </w:rPr>
              <w:t>施加影响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pStyle w:val="13"/>
              <w:spacing w:line="280" w:lineRule="exact"/>
              <w:ind w:firstLineChars="0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编制了《应急准备和响应管理程序》，查看内容基本符合要求。策划成立了义务消防队，包括潘菲、柳春光、林剑锋、夏文阳、吴浩、李水法；应急预案包括紧急应变处理流程图、触电、火灾、有毒气体（氟利昂）中毒、中暑应急预案等应急预案。</w:t>
            </w:r>
          </w:p>
          <w:p>
            <w:pPr>
              <w:pStyle w:val="13"/>
              <w:spacing w:line="280" w:lineRule="exact"/>
              <w:ind w:firstLineChars="0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查应急预案评估报告，通过以上评估，公司应急预案的制定基本合理。公司进行了消防灭火演练，查应急演练记录。提供了2020.5.24消防灭火演练，参加人员包括总经理/总指挥陈学锋，策划潘菲，员工柳春光、宋斌杰、林剑锋、夏文阳等9名员工，记录了演练过程，存在的问题主要为要加强消防技能的的培训，普及全体员工的防火意识。并进行了总结评估。另外提供了2020.5.24医疗急救演练。基本符合要求要求 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0HtHEPAgAA8AMAAA4AAABkcnMvZTJvRG9jLnhtbK1TzY7T&#10;MBC+I/EOlu80bdQuu1HT1dJVEdLyIy08gOM4iUXiMWO3SXkAeANOXLjzXH2OHTvdUuCG8MHyeGY+&#10;z/fNeHk9dC3bKXQaTM5nkylnykgotalz/uH95tklZ84LU4oWjMr5Xjl+vXr6ZNnbTKXQQFsqZARi&#10;XNbbnDfe2yxJnGxUJ9wErDLkrAA74cnEOilR9ITetUk6nV4kPWBpEaRyjm5vRydfRfyqUtK/rSqn&#10;PGtzTrX5uGPci7Anq6XIahS20fJYhviHKjqhDT16groVXrAt6r+gOi0RHFR+IqFLoKq0VJEDsZlN&#10;/2Bz3wirIhcSx9mTTO7/wco3u3fIdJnzlDMjOmrR4dvXw/efhx9f2CzI01uXUdS9pTg/vICB2hyp&#10;OnsH8qNjBtaNMLW6QYS+UaKk8mJmcpY64rgAUvSvoaR3xNZDBBoq7IJ2pAYjdGrT/tQaNXgm6TKd&#10;Xc7nU3JJ8qWLi8U89i4R2WO2RedfKuhYOOQcqfURXezunCceFPoYEh5z0Opyo9s2GlgX6xbZTtCY&#10;bOIK1Cnlt7DWhGADIW10h5tIMzAbOfqhGI6yFVDuiTDCOHb0TejQAH7mrKeRy7n7tBWoOGtfGRLt&#10;akYUaUajMV88T8nAc09x7hFGElTOPWfjce3Hud5a1HVDL41tMnBDQlc6ahA6MlZ1rJvGKvI8foEw&#10;t+d2jPr1UVc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aq5dYAAAAKAQAADwAAAAAAAAABACAA&#10;AAAiAAAAZHJzL2Rvd25yZXYueG1sUEsBAhQAFAAAAAgAh07iQB0HtHE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11"/>
    <w:rsid w:val="00007B5B"/>
    <w:rsid w:val="00042B14"/>
    <w:rsid w:val="000551A6"/>
    <w:rsid w:val="00071EED"/>
    <w:rsid w:val="000A00A0"/>
    <w:rsid w:val="000A1A77"/>
    <w:rsid w:val="000F2CEF"/>
    <w:rsid w:val="000F3EC2"/>
    <w:rsid w:val="00103931"/>
    <w:rsid w:val="001175DE"/>
    <w:rsid w:val="00124549"/>
    <w:rsid w:val="00160455"/>
    <w:rsid w:val="00162691"/>
    <w:rsid w:val="00164C7B"/>
    <w:rsid w:val="00193FA3"/>
    <w:rsid w:val="001B2171"/>
    <w:rsid w:val="001B32DE"/>
    <w:rsid w:val="001C29E1"/>
    <w:rsid w:val="001D5047"/>
    <w:rsid w:val="001F157B"/>
    <w:rsid w:val="002117B5"/>
    <w:rsid w:val="002462D0"/>
    <w:rsid w:val="00263638"/>
    <w:rsid w:val="00274C74"/>
    <w:rsid w:val="00295CDC"/>
    <w:rsid w:val="002D6A23"/>
    <w:rsid w:val="002F484C"/>
    <w:rsid w:val="00315297"/>
    <w:rsid w:val="00321960"/>
    <w:rsid w:val="00344AA3"/>
    <w:rsid w:val="00347B79"/>
    <w:rsid w:val="00355ECC"/>
    <w:rsid w:val="0036229B"/>
    <w:rsid w:val="00362684"/>
    <w:rsid w:val="003643A2"/>
    <w:rsid w:val="003668B9"/>
    <w:rsid w:val="003A4BDD"/>
    <w:rsid w:val="003A7E6F"/>
    <w:rsid w:val="003D7B7D"/>
    <w:rsid w:val="003F33A8"/>
    <w:rsid w:val="003F66F4"/>
    <w:rsid w:val="00401666"/>
    <w:rsid w:val="00420E81"/>
    <w:rsid w:val="0049604C"/>
    <w:rsid w:val="004B7DFA"/>
    <w:rsid w:val="004D0690"/>
    <w:rsid w:val="004D16C6"/>
    <w:rsid w:val="00507E92"/>
    <w:rsid w:val="005245FE"/>
    <w:rsid w:val="00525128"/>
    <w:rsid w:val="00562D1A"/>
    <w:rsid w:val="00565D0D"/>
    <w:rsid w:val="00582284"/>
    <w:rsid w:val="005B20B0"/>
    <w:rsid w:val="005D7D32"/>
    <w:rsid w:val="005E6EEF"/>
    <w:rsid w:val="00604358"/>
    <w:rsid w:val="00605D58"/>
    <w:rsid w:val="00622B0F"/>
    <w:rsid w:val="006376B1"/>
    <w:rsid w:val="00643ACE"/>
    <w:rsid w:val="00655A1D"/>
    <w:rsid w:val="006704CA"/>
    <w:rsid w:val="0069320B"/>
    <w:rsid w:val="006A1F08"/>
    <w:rsid w:val="006B7275"/>
    <w:rsid w:val="006B7D4E"/>
    <w:rsid w:val="006D2CF4"/>
    <w:rsid w:val="006E0BFE"/>
    <w:rsid w:val="0070730F"/>
    <w:rsid w:val="00713A12"/>
    <w:rsid w:val="00756675"/>
    <w:rsid w:val="0078254F"/>
    <w:rsid w:val="007A72C4"/>
    <w:rsid w:val="007C681F"/>
    <w:rsid w:val="007E4C0C"/>
    <w:rsid w:val="007F2F6A"/>
    <w:rsid w:val="00804D2F"/>
    <w:rsid w:val="00806FFA"/>
    <w:rsid w:val="00852FAD"/>
    <w:rsid w:val="00870586"/>
    <w:rsid w:val="00876FE4"/>
    <w:rsid w:val="00881F1B"/>
    <w:rsid w:val="0088506E"/>
    <w:rsid w:val="00891AB9"/>
    <w:rsid w:val="008A5B9A"/>
    <w:rsid w:val="008A6625"/>
    <w:rsid w:val="008D2A19"/>
    <w:rsid w:val="008D3EE7"/>
    <w:rsid w:val="008D4D55"/>
    <w:rsid w:val="008E2FA4"/>
    <w:rsid w:val="008E4E47"/>
    <w:rsid w:val="008E5568"/>
    <w:rsid w:val="009014A2"/>
    <w:rsid w:val="00905C44"/>
    <w:rsid w:val="00910810"/>
    <w:rsid w:val="00925A92"/>
    <w:rsid w:val="00934D17"/>
    <w:rsid w:val="00941328"/>
    <w:rsid w:val="009730DA"/>
    <w:rsid w:val="009733A4"/>
    <w:rsid w:val="00987D09"/>
    <w:rsid w:val="009D5C38"/>
    <w:rsid w:val="009F4EDA"/>
    <w:rsid w:val="00A21B18"/>
    <w:rsid w:val="00A25FC4"/>
    <w:rsid w:val="00A55818"/>
    <w:rsid w:val="00A558EF"/>
    <w:rsid w:val="00A615E8"/>
    <w:rsid w:val="00A92D54"/>
    <w:rsid w:val="00AB3D9C"/>
    <w:rsid w:val="00AB58E8"/>
    <w:rsid w:val="00AF5445"/>
    <w:rsid w:val="00AF7A8A"/>
    <w:rsid w:val="00B410E1"/>
    <w:rsid w:val="00B72427"/>
    <w:rsid w:val="00B73833"/>
    <w:rsid w:val="00B957C8"/>
    <w:rsid w:val="00B97A59"/>
    <w:rsid w:val="00BA1828"/>
    <w:rsid w:val="00BA1C97"/>
    <w:rsid w:val="00BB160D"/>
    <w:rsid w:val="00BC4416"/>
    <w:rsid w:val="00BC5955"/>
    <w:rsid w:val="00BE7E28"/>
    <w:rsid w:val="00C22840"/>
    <w:rsid w:val="00C26588"/>
    <w:rsid w:val="00C30C45"/>
    <w:rsid w:val="00C32929"/>
    <w:rsid w:val="00C44524"/>
    <w:rsid w:val="00C717A2"/>
    <w:rsid w:val="00CA34D6"/>
    <w:rsid w:val="00D37EF8"/>
    <w:rsid w:val="00D56E42"/>
    <w:rsid w:val="00D75A68"/>
    <w:rsid w:val="00D81227"/>
    <w:rsid w:val="00D84768"/>
    <w:rsid w:val="00D877C2"/>
    <w:rsid w:val="00D9287A"/>
    <w:rsid w:val="00D97452"/>
    <w:rsid w:val="00DA65B7"/>
    <w:rsid w:val="00DC25D1"/>
    <w:rsid w:val="00DC62D1"/>
    <w:rsid w:val="00DD1FE4"/>
    <w:rsid w:val="00DD3CA9"/>
    <w:rsid w:val="00DD6851"/>
    <w:rsid w:val="00DE4D90"/>
    <w:rsid w:val="00DF12DC"/>
    <w:rsid w:val="00E0471E"/>
    <w:rsid w:val="00E72227"/>
    <w:rsid w:val="00E77854"/>
    <w:rsid w:val="00E947EE"/>
    <w:rsid w:val="00E9662D"/>
    <w:rsid w:val="00EA6446"/>
    <w:rsid w:val="00EC20CB"/>
    <w:rsid w:val="00ED01B8"/>
    <w:rsid w:val="00ED2888"/>
    <w:rsid w:val="00EE0D35"/>
    <w:rsid w:val="00EE7428"/>
    <w:rsid w:val="00EF5B9C"/>
    <w:rsid w:val="00F17E61"/>
    <w:rsid w:val="00F22611"/>
    <w:rsid w:val="00F47546"/>
    <w:rsid w:val="00F5368E"/>
    <w:rsid w:val="00F90642"/>
    <w:rsid w:val="00FC294A"/>
    <w:rsid w:val="03474323"/>
    <w:rsid w:val="07096467"/>
    <w:rsid w:val="0B343CF4"/>
    <w:rsid w:val="15040A7A"/>
    <w:rsid w:val="1F722763"/>
    <w:rsid w:val="217725F9"/>
    <w:rsid w:val="220474F2"/>
    <w:rsid w:val="2555686D"/>
    <w:rsid w:val="26305D9F"/>
    <w:rsid w:val="290760A2"/>
    <w:rsid w:val="2AD72077"/>
    <w:rsid w:val="318E5CBC"/>
    <w:rsid w:val="353A005A"/>
    <w:rsid w:val="39C20A18"/>
    <w:rsid w:val="3B015E95"/>
    <w:rsid w:val="3C772C94"/>
    <w:rsid w:val="41812964"/>
    <w:rsid w:val="42255769"/>
    <w:rsid w:val="428E0270"/>
    <w:rsid w:val="442C3A12"/>
    <w:rsid w:val="45D773CD"/>
    <w:rsid w:val="470571F6"/>
    <w:rsid w:val="53F53739"/>
    <w:rsid w:val="551928B5"/>
    <w:rsid w:val="59B220A5"/>
    <w:rsid w:val="5CF04A8E"/>
    <w:rsid w:val="5CFA77B0"/>
    <w:rsid w:val="5D4F5453"/>
    <w:rsid w:val="6C6F151C"/>
    <w:rsid w:val="6EDA613E"/>
    <w:rsid w:val="752E599C"/>
    <w:rsid w:val="7FFE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360"/>
    </w:pPr>
    <w:rPr>
      <w:sz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2127</Characters>
  <Lines>17</Lines>
  <Paragraphs>4</Paragraphs>
  <TotalTime>2</TotalTime>
  <ScaleCrop>false</ScaleCrop>
  <LinksUpToDate>false</LinksUpToDate>
  <CharactersWithSpaces>2496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森林</cp:lastModifiedBy>
  <dcterms:modified xsi:type="dcterms:W3CDTF">2020-11-04T02:15:42Z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