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875"/>
        <w:gridCol w:w="684"/>
        <w:gridCol w:w="567"/>
        <w:gridCol w:w="864"/>
        <w:gridCol w:w="270"/>
        <w:gridCol w:w="435"/>
        <w:gridCol w:w="274"/>
        <w:gridCol w:w="85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湖州齐创环保科技有限公司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0389-2020-QEO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陈学峰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0572-2929329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联系人邮箱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568" w:type="dxa"/>
            <w:gridSpan w:val="6"/>
            <w:vAlign w:val="center"/>
          </w:tcPr>
          <w:p>
            <w:bookmarkStart w:id="1" w:name="最高管理者"/>
            <w:bookmarkEnd w:id="1"/>
          </w:p>
        </w:tc>
        <w:tc>
          <w:tcPr>
            <w:tcW w:w="68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2" w:name="联系人传真"/>
            <w:bookmarkEnd w:id="2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683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Q：大型中央空调清洗、空调维保、大型油烟机清洗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E：大型中央空调清洗、空调维保、大型油烟机清洗及相关环境管理活动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O：大型中央空调清洗、空调维保、大型油烟机清洗及相关职业健康安全管理活动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Q：18.08.00;35.16.02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E：18.08.00;35.16.02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O：18.08.00;35.16.02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4" w:name="审核日期安排"/>
            <w:r>
              <w:rPr>
                <w:rFonts w:hint="eastAsia"/>
                <w:b/>
                <w:sz w:val="21"/>
                <w:szCs w:val="21"/>
              </w:rPr>
              <w:t>2020年09月21日 上午至2020年09月21日 下午 (共1.0天)</w:t>
            </w:r>
            <w:bookmarkEnd w:id="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林兵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王央央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/B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任泽华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/C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石帆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/D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15088737064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吴姝华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/E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E:35.16.02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O:35.16.02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13588109988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ISC-JSZJ-164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58" w:type="dxa"/>
            <w:gridSpan w:val="5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58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2020-9-16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58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2020-9-16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9.21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办公现场巡视：查看办公现场、消防设施等；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9:30~12:00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管理层：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确定认证范围和经营场所</w:t>
            </w:r>
          </w:p>
          <w:p>
            <w:pPr>
              <w:spacing w:before="81" w:beforeLines="25" w:after="81" w:afterLines="25" w:line="22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9:30~12:00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市场部：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了解主要负责的工作；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了解公司顾客满意度汇总情况；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了解服务过程中需对外影响的环境、职业健康安全适用法律法规及其他要求控制情况；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了解各部门的环境因素、危险源及采取的措施等；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12:00~13：00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13:00~16:00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办公室：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了解满足客户租赁要求的技术设计方案；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13:00~16:00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工程部：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了解主要负责的工作；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了解公司工程部作业指导文件、作业记录、验收记录等；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了解服务过程中需对外影响的环境、职业健康安全适用法律法规及其他要求控制情况；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了解各部门的环境因素、危险源及采取的措施等；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16:00~16:30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审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核组内部沟通、与受审核方代表反馈审核结果并商定第二阶段审核的时间；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16:30~17:00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注:1、一阶段要在现场核实以下内容并填写“申请评审信息（初审/再认证）现场确认表”：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1）营业执照或相关证件副本原件；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2）生产（安全）许可证、行业许可证、3C证书原件；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4）型式试验报告；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5）地理位置图、污水管网图；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6）生产工艺流程示意图（建设单位还需提供在建项目清单）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7）环境影响评价报告及批复、“三同时”验收报告；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8）安全、卫生评价报告及批复、“三同时”验收报告；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9）消防验收报告；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10）由法定资格的环境监测部门对各项污染物的监测数据；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12）排污许可证、排污申报登记注册注明、总量控制指标；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13）主要资源、能源使用、消耗清单、危险化学品清单。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2、请在选中的“□”内打“×”。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3、如工作语言、审核报告语言不是中文，应在审核计划中说明语言种类；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4、主要审核内容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方针的制定与贯彻情况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环境因素的识别和评价程序合理性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危险源的辨识和评价程序合理性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体系覆盖产品及产品生产关键过程、特殊过程的识别和确认情况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质量管理体系删减条款的合理性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适用的法律和其他要求的获取、识别程序实施情况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组织的目标、指标和管理方案合理性及实施情况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组织法律法规的遵循情况 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内审和管理评审的实施情况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 xml:space="preserve">管理体系文件审核 </w:t>
      </w:r>
    </w:p>
    <w:p>
      <w:pPr>
        <w:tabs>
          <w:tab w:val="left" w:pos="432"/>
        </w:tabs>
        <w:spacing w:line="220" w:lineRule="exact"/>
        <w:ind w:left="432"/>
        <w:textAlignment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识别二阶段审核的资源配置情况</w:t>
      </w:r>
    </w:p>
    <w:p>
      <w:pPr>
        <w:tabs>
          <w:tab w:val="left" w:pos="432"/>
        </w:tabs>
        <w:spacing w:line="220" w:lineRule="exact"/>
        <w:ind w:left="432"/>
        <w:textAlignment w:val="center"/>
      </w:pPr>
      <w:r>
        <w:rPr>
          <w:rFonts w:hint="eastAsia" w:ascii="宋体" w:hAnsi="宋体" w:cs="宋体"/>
          <w:bCs/>
          <w:sz w:val="18"/>
          <w:szCs w:val="18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EA309B"/>
    <w:rsid w:val="3A6A0358"/>
    <w:rsid w:val="3C394C47"/>
    <w:rsid w:val="3FB47E27"/>
    <w:rsid w:val="497B2453"/>
    <w:rsid w:val="4B382F80"/>
    <w:rsid w:val="4F0B0678"/>
    <w:rsid w:val="535518A5"/>
    <w:rsid w:val="66F67258"/>
    <w:rsid w:val="71DE7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1821</Words>
  <Characters>2302</Characters>
  <Lines>9</Lines>
  <Paragraphs>2</Paragraphs>
  <TotalTime>1</TotalTime>
  <ScaleCrop>false</ScaleCrop>
  <LinksUpToDate>false</LinksUpToDate>
  <CharactersWithSpaces>2321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2020-10-06T00:30:24Z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