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西安家麒工模具有限公司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rPr>
        <w:t>0091-2019-2020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0091-2019-2020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78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730"/>
        <w:gridCol w:w="185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西安家麒工模具有限公司</w:t>
            </w:r>
            <w:bookmarkEnd w:id="4"/>
          </w:p>
        </w:tc>
        <w:tc>
          <w:tcPr>
            <w:tcW w:w="18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4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赵永利</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3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ISC-2019-0462</w:t>
            </w:r>
          </w:p>
        </w:tc>
        <w:tc>
          <w:tcPr>
            <w:tcW w:w="18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40"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3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8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4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2020年09月19日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6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30" w:type="dxa"/>
            <w:vAlign w:val="top"/>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lang w:val="en-US" w:eastAsia="zh-CN"/>
              </w:rPr>
            </w:pPr>
            <w:r>
              <w:rPr>
                <w:rFonts w:hint="eastAsia" w:cs="宋体" w:asciiTheme="minorEastAsia" w:hAnsiTheme="minorEastAsia"/>
                <w:kern w:val="0"/>
                <w:szCs w:val="21"/>
                <w:lang w:eastAsia="zh-CN"/>
              </w:rPr>
              <w:t>李俐</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ISC[S]00</w:t>
            </w:r>
            <w:r>
              <w:rPr>
                <w:rFonts w:hint="eastAsia" w:cs="宋体" w:asciiTheme="minorEastAsia" w:hAnsiTheme="minorEastAsia"/>
                <w:kern w:val="0"/>
                <w:szCs w:val="21"/>
                <w:lang w:val="en-US" w:eastAsia="zh-CN"/>
              </w:rPr>
              <w:t>08</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ascii="宋体" w:hAnsi="宋体"/>
                <w:szCs w:val="21"/>
              </w:rPr>
              <w:t>李学弘</w:t>
            </w:r>
            <w:r>
              <w:rPr>
                <w:rFonts w:hint="eastAsia" w:cs="宋体" w:asciiTheme="minorEastAsia" w:hAnsiTheme="minorEastAsia"/>
                <w:kern w:val="0"/>
                <w:szCs w:val="21"/>
              </w:rPr>
              <w:t>ISC[S]0117</w:t>
            </w:r>
          </w:p>
        </w:tc>
        <w:tc>
          <w:tcPr>
            <w:tcW w:w="18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40" w:type="dxa"/>
          </w:tcPr>
          <w:p>
            <w:pPr>
              <w:rPr>
                <w:rFonts w:hint="eastAsia" w:ascii="宋体" w:hAnsi="宋体" w:cs="宋体"/>
                <w:kern w:val="0"/>
                <w:szCs w:val="21"/>
              </w:rPr>
            </w:pPr>
            <w:r>
              <w:rPr>
                <w:rFonts w:hint="eastAsia" w:ascii="宋体" w:hAnsi="宋体" w:cs="宋体"/>
                <w:kern w:val="0"/>
                <w:szCs w:val="21"/>
              </w:rPr>
              <w:t>综合部</w:t>
            </w:r>
            <w:r>
              <w:rPr>
                <w:rFonts w:hint="eastAsia" w:ascii="宋体" w:hAnsi="宋体" w:cs="宋体"/>
                <w:kern w:val="0"/>
                <w:szCs w:val="21"/>
                <w:lang w:eastAsia="zh-CN"/>
              </w:rPr>
              <w:t>、</w:t>
            </w:r>
            <w:r>
              <w:rPr>
                <w:rFonts w:hint="eastAsia" w:ascii="宋体" w:hAnsi="宋体" w:cs="宋体"/>
                <w:kern w:val="0"/>
                <w:szCs w:val="21"/>
              </w:rPr>
              <w:t>生产部</w:t>
            </w:r>
          </w:p>
          <w:p>
            <w:pPr>
              <w:rPr>
                <w:rFonts w:cs="宋体" w:asciiTheme="minorEastAsia" w:hAnsiTheme="minorEastAsia"/>
                <w:kern w:val="0"/>
                <w:szCs w:val="21"/>
              </w:rPr>
            </w:pPr>
            <w:r>
              <w:rPr>
                <w:rFonts w:hint="eastAsia" w:ascii="宋体" w:hAnsi="宋体" w:cs="宋体"/>
                <w:kern w:val="0"/>
                <w:szCs w:val="21"/>
              </w:rPr>
              <w:t>技术</w:t>
            </w:r>
            <w:r>
              <w:rPr>
                <w:rFonts w:hint="eastAsia" w:ascii="宋体" w:hAnsi="宋体" w:cs="宋体"/>
                <w:kern w:val="0"/>
                <w:szCs w:val="21"/>
                <w:lang w:val="en-US" w:eastAsia="zh-CN"/>
              </w:rPr>
              <w:t>质量</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s="宋体"/>
                <w:kern w:val="0"/>
                <w:szCs w:val="21"/>
              </w:rPr>
              <w:t>市场部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cs="宋体"/>
          <w:bCs/>
          <w:kern w:val="0"/>
          <w:szCs w:val="21"/>
        </w:rPr>
      </w:pPr>
      <w:r>
        <w:rPr>
          <w:rFonts w:hint="eastAsia" w:ascii="宋体" w:hAnsi="宋体" w:cs="宋体"/>
          <w:bCs/>
          <w:kern w:val="0"/>
          <w:szCs w:val="21"/>
        </w:rPr>
        <w:t>1.一年内违反法律法规或重大事故的情况：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一年内，公司日常运行中生产、经营、安全、销售及行政管理方面，未出现违反法律、法规问题或重大事故发生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spacing w:line="360" w:lineRule="auto"/>
        <w:rPr>
          <w:rFonts w:hint="eastAsia"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9</w:t>
      </w:r>
      <w:r>
        <w:rPr>
          <w:rFonts w:hint="eastAsia" w:ascii="宋体" w:hAnsi="宋体" w:cs="宋体"/>
          <w:bCs/>
          <w:kern w:val="0"/>
          <w:szCs w:val="21"/>
        </w:rPr>
        <w:t>月</w:t>
      </w:r>
      <w:r>
        <w:rPr>
          <w:rFonts w:hint="eastAsia" w:ascii="宋体" w:hAnsi="宋体" w:cs="宋体"/>
          <w:bCs/>
          <w:kern w:val="0"/>
          <w:szCs w:val="21"/>
          <w:lang w:val="en-US" w:eastAsia="zh-CN"/>
        </w:rPr>
        <w:t>19</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4</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eastAsia="宋体" w:cs="宋体"/>
          <w:kern w:val="0"/>
          <w:szCs w:val="21"/>
        </w:rPr>
        <w:t>ADC12铝锭</w:t>
      </w:r>
      <w:r>
        <w:rPr>
          <w:rFonts w:hint="eastAsia"/>
          <w:kern w:val="0"/>
          <w:szCs w:val="21"/>
        </w:rPr>
        <w:t>的</w:t>
      </w:r>
      <w:r>
        <w:rPr>
          <w:rFonts w:hint="eastAsia" w:ascii="宋体" w:hAnsi="宋体" w:eastAsia="宋体" w:cs="宋体"/>
          <w:kern w:val="0"/>
          <w:szCs w:val="21"/>
        </w:rPr>
        <w:t>硅</w:t>
      </w:r>
      <w:r>
        <w:rPr>
          <w:rFonts w:hint="eastAsia"/>
          <w:kern w:val="0"/>
          <w:szCs w:val="21"/>
        </w:rPr>
        <w:t>含量</w:t>
      </w:r>
      <w:r>
        <w:rPr>
          <w:rFonts w:hint="eastAsia"/>
          <w:kern w:val="0"/>
          <w:szCs w:val="21"/>
          <w:lang w:val="en-US" w:eastAsia="zh-CN"/>
        </w:rPr>
        <w:t>检测</w:t>
      </w:r>
      <w:r>
        <w:rPr>
          <w:rFonts w:hint="eastAsia" w:ascii="宋体" w:hAnsi="宋体"/>
          <w:szCs w:val="21"/>
          <w:lang w:eastAsia="zh-CN"/>
        </w:rPr>
        <w:t>过程</w:t>
      </w:r>
      <w:r>
        <w:rPr>
          <w:rFonts w:hint="eastAsia" w:ascii="宋体" w:hAnsi="宋体"/>
          <w:szCs w:val="21"/>
          <w:lang w:val="en-US" w:eastAsia="zh-CN"/>
        </w:rPr>
        <w:t>控制</w:t>
      </w:r>
      <w:r>
        <w:rPr>
          <w:rFonts w:hint="eastAsia" w:ascii="宋体" w:hAnsi="宋体"/>
          <w:szCs w:val="21"/>
          <w:lang w:eastAsia="zh-CN"/>
        </w:rPr>
        <w:t>检测等测量过程，掌握了企业测量管理体系的运行状况和品质。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0"/>
        </w:numPr>
        <w:spacing w:line="360" w:lineRule="auto"/>
        <w:ind w:leftChars="0"/>
        <w:rPr>
          <w:rFonts w:cs="宋体" w:asciiTheme="minorEastAsia" w:hAnsiTheme="minorEastAsia"/>
          <w:bCs/>
          <w:kern w:val="0"/>
          <w:szCs w:val="21"/>
        </w:rPr>
      </w:pPr>
      <w:r>
        <w:rPr>
          <w:rFonts w:hint="eastAsia" w:asciiTheme="minorEastAsia" w:hAnsiTheme="minorEastAsia"/>
          <w:bCs/>
          <w:szCs w:val="21"/>
          <w:lang w:val="en-US" w:eastAsia="zh-CN"/>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szCs w:val="21"/>
        </w:rPr>
      </w:pPr>
      <w:r>
        <w:rPr>
          <w:rFonts w:hint="eastAsia" w:ascii="宋体" w:hAnsi="宋体"/>
          <w:szCs w:val="21"/>
        </w:rPr>
        <w:t>在审核在审核过程中了解到，该公司于</w:t>
      </w:r>
      <w:r>
        <w:rPr>
          <w:rFonts w:hint="eastAsia" w:ascii="宋体" w:hAnsi="宋体"/>
          <w:color w:val="000000"/>
          <w:szCs w:val="21"/>
          <w:lang w:val="en-US" w:eastAsia="zh-CN"/>
        </w:rPr>
        <w:t>2020年5月11日</w:t>
      </w:r>
      <w:r>
        <w:rPr>
          <w:rFonts w:hint="eastAsia" w:ascii="宋体" w:hAnsi="宋体"/>
          <w:szCs w:val="21"/>
        </w:rPr>
        <w:t xml:space="preserve"> 组织了内部审核，对内审中提出的</w:t>
      </w:r>
      <w:r>
        <w:rPr>
          <w:rFonts w:hint="eastAsia" w:ascii="宋体" w:hAnsi="宋体"/>
          <w:szCs w:val="21"/>
          <w:lang w:val="en-US" w:eastAsia="zh-CN"/>
        </w:rPr>
        <w:t>1</w:t>
      </w:r>
      <w:r>
        <w:rPr>
          <w:rFonts w:hint="eastAsia" w:ascii="宋体" w:hAnsi="宋体"/>
          <w:szCs w:val="21"/>
        </w:rPr>
        <w:t>项不符合制定了纠正措施，并</w:t>
      </w:r>
      <w:r>
        <w:rPr>
          <w:rFonts w:hint="eastAsia" w:ascii="宋体" w:hAnsi="宋体"/>
          <w:szCs w:val="21"/>
          <w:lang w:eastAsia="zh-CN"/>
        </w:rPr>
        <w:t>已于</w:t>
      </w:r>
      <w:r>
        <w:rPr>
          <w:rFonts w:hint="eastAsia" w:ascii="宋体" w:hAnsi="宋体"/>
          <w:color w:val="000000"/>
          <w:szCs w:val="21"/>
          <w:lang w:val="en-US" w:eastAsia="zh-CN"/>
        </w:rPr>
        <w:t>2020年6月15日</w:t>
      </w:r>
      <w:r>
        <w:rPr>
          <w:rFonts w:hint="eastAsia" w:ascii="宋体" w:hAnsi="宋体"/>
          <w:szCs w:val="21"/>
        </w:rPr>
        <w:t>进行了整改。</w:t>
      </w:r>
      <w:r>
        <w:rPr>
          <w:rFonts w:hint="eastAsia" w:ascii="宋体" w:hAnsi="宋体"/>
          <w:color w:val="000000"/>
          <w:szCs w:val="21"/>
          <w:lang w:val="en-US" w:eastAsia="zh-CN"/>
        </w:rPr>
        <w:t>2020年5月30日</w:t>
      </w:r>
      <w:r>
        <w:rPr>
          <w:rFonts w:hint="eastAsia" w:ascii="宋体" w:hAnsi="宋体"/>
          <w:szCs w:val="21"/>
        </w:rPr>
        <w:t>进行了管理评审，对测量管理体系进行了有效评价，确保了测量管理体系的运行质量。</w:t>
      </w:r>
    </w:p>
    <w:p>
      <w:pPr>
        <w:widowControl/>
        <w:spacing w:line="360" w:lineRule="auto"/>
        <w:rPr>
          <w:rFonts w:hint="eastAsia" w:ascii="宋体" w:hAnsi="宋体"/>
          <w:szCs w:val="21"/>
        </w:rPr>
      </w:pPr>
      <w:r>
        <w:rPr>
          <w:rFonts w:hint="eastAsia" w:ascii="宋体" w:hAnsi="宋体"/>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西安家麒工模具有限公司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w:t>
      </w:r>
      <w:r>
        <w:rPr>
          <w:rFonts w:hint="eastAsia" w:ascii="宋体" w:hAnsi="宋体" w:cs="宋体"/>
          <w:kern w:val="0"/>
          <w:szCs w:val="21"/>
          <w:lang w:val="en-US" w:eastAsia="zh-CN"/>
        </w:rPr>
        <w:t>1</w:t>
      </w:r>
      <w:r>
        <w:rPr>
          <w:rFonts w:hint="eastAsia" w:ascii="宋体" w:hAnsi="宋体" w:cs="宋体"/>
          <w:kern w:val="0"/>
          <w:szCs w:val="21"/>
        </w:rPr>
        <w:t>个关键测量过程：</w:t>
      </w:r>
      <w:r>
        <w:rPr>
          <w:rFonts w:hint="eastAsia" w:hAnsi="宋体"/>
          <w:color w:val="000000"/>
          <w:kern w:val="2"/>
          <w:sz w:val="21"/>
          <w:szCs w:val="21"/>
          <w:lang w:val="en-US" w:eastAsia="zh-CN" w:bidi="ar-SA"/>
        </w:rPr>
        <w:t>ADC12铝锭的硅含量检测</w:t>
      </w:r>
      <w:r>
        <w:rPr>
          <w:rFonts w:hint="eastAsia" w:ascii="宋体" w:hAnsi="宋体"/>
          <w:szCs w:val="21"/>
          <w:lang w:eastAsia="zh-CN"/>
        </w:rPr>
        <w:t>，</w:t>
      </w:r>
      <w:r>
        <w:rPr>
          <w:rFonts w:hint="eastAsia" w:ascii="宋体" w:hAnsi="宋体" w:cs="宋体"/>
          <w:kern w:val="0"/>
          <w:szCs w:val="21"/>
        </w:rPr>
        <w:t>体系运行一年来未有新增</w:t>
      </w:r>
      <w:r>
        <w:rPr>
          <w:rFonts w:hint="eastAsia" w:ascii="宋体" w:hAnsi="宋体" w:cs="宋体"/>
          <w:color w:val="000000"/>
          <w:kern w:val="0"/>
          <w:szCs w:val="21"/>
        </w:rPr>
        <w:t>测量过程</w:t>
      </w:r>
      <w:r>
        <w:rPr>
          <w:rFonts w:hint="eastAsia" w:ascii="宋体" w:hAnsi="宋体" w:cs="宋体"/>
          <w:color w:val="000000"/>
          <w:kern w:val="0"/>
          <w:szCs w:val="21"/>
          <w:lang w:eastAsia="zh-CN"/>
        </w:rPr>
        <w:t>。</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ADC12铝锭的硅含量检测</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ADC12铝锭的硅含量检测</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ADC12铝锭的硅含量检测</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1"/>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的计量方针及5项质量目标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经2020年7月10日，统计考核，各部门均完成目标。</w:t>
      </w:r>
    </w:p>
    <w:p>
      <w:pPr>
        <w:widowControl/>
        <w:numPr>
          <w:ilvl w:val="0"/>
          <w:numId w:val="1"/>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400" w:lineRule="exact"/>
        <w:rPr>
          <w:rFonts w:hint="eastAsia"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项1项</w:t>
      </w:r>
      <w:r>
        <w:rPr>
          <w:rFonts w:hint="eastAsia" w:ascii="宋体" w:hAnsi="宋体" w:eastAsia="宋体" w:cs="宋体"/>
          <w:kern w:val="0"/>
          <w:szCs w:val="21"/>
        </w:rPr>
        <w:t>，未发现严重的或系统性的不符合情况：</w:t>
      </w:r>
    </w:p>
    <w:p>
      <w:pPr>
        <w:widowControl/>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 xml:space="preserve">10.1  </w:t>
      </w:r>
      <w:r>
        <w:rPr>
          <w:rFonts w:hint="eastAsia" w:ascii="宋体" w:hAnsi="宋体"/>
          <w:color w:val="000000"/>
          <w:szCs w:val="21"/>
          <w:lang w:val="en-US" w:eastAsia="zh-CN"/>
        </w:rPr>
        <w:t>查用于操纵装置壳体气密性检测的编号为JQYL-028压力表，经2019.12.3校准，未确认</w:t>
      </w:r>
      <w:r>
        <w:rPr>
          <w:rFonts w:hint="eastAsia" w:ascii="宋体" w:hAnsi="宋体"/>
          <w:szCs w:val="21"/>
          <w:lang w:val="en-US" w:eastAsia="zh-CN"/>
        </w:rPr>
        <w:t>，</w:t>
      </w:r>
      <w:r>
        <w:rPr>
          <w:rFonts w:hint="eastAsia" w:ascii="宋体" w:hAnsi="宋体" w:cs="宋体"/>
          <w:bCs/>
          <w:kern w:val="0"/>
          <w:szCs w:val="21"/>
          <w:lang w:val="en-US" w:eastAsia="zh-CN"/>
        </w:rPr>
        <w:t>不符合GB/T19022-2003标准7.1.1条款的要求。</w:t>
      </w:r>
      <w:bookmarkStart w:id="10" w:name="_GoBack"/>
      <w:bookmarkEnd w:id="10"/>
    </w:p>
    <w:p>
      <w:pPr>
        <w:widowControl/>
        <w:numPr>
          <w:ilvl w:val="0"/>
          <w:numId w:val="2"/>
        </w:numPr>
        <w:spacing w:line="276"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9</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19</w:t>
      </w:r>
      <w:r>
        <w:rPr>
          <w:rFonts w:hint="eastAsia" w:ascii="宋体" w:hAnsi="宋体" w:eastAsia="宋体" w:cs="宋体"/>
          <w:bCs/>
          <w:kern w:val="0"/>
          <w:szCs w:val="21"/>
        </w:rPr>
        <w:t>日对</w:t>
      </w:r>
      <w:r>
        <w:rPr>
          <w:rFonts w:hint="eastAsia" w:ascii="宋体" w:hAnsi="宋体" w:eastAsia="宋体"/>
          <w:szCs w:val="21"/>
          <w:lang w:eastAsia="zh-CN"/>
        </w:rPr>
        <w:t>西安家麒工模具有限公司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西安家麒工模具有限公司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9"/>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right"/>
        <w:rPr>
          <w:rFonts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2020.9.19</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numPr>
          <w:ilvl w:val="0"/>
          <w:numId w:val="0"/>
        </w:numPr>
        <w:spacing w:line="276" w:lineRule="auto"/>
        <w:ind w:leftChars="0" w:right="1050" w:rightChars="0"/>
        <w:rPr>
          <w:rFonts w:ascii="宋体" w:hAnsi="宋体" w:eastAsia="宋体" w:cs="宋体"/>
          <w:kern w:val="0"/>
          <w:szCs w:val="28"/>
        </w:rPr>
      </w:pPr>
      <w:r>
        <w:rPr>
          <w:rFonts w:hint="eastAsia" w:ascii="宋体" w:hAnsi="宋体" w:eastAsia="宋体" w:cs="宋体"/>
          <w:b/>
          <w:bCs/>
          <w:kern w:val="0"/>
          <w:szCs w:val="21"/>
          <w:lang w:val="en-US" w:eastAsia="zh-CN"/>
        </w:rPr>
        <w:t>五、</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p>
    <w:p>
      <w:pPr>
        <w:widowControl/>
        <w:numPr>
          <w:ilvl w:val="0"/>
          <w:numId w:val="0"/>
        </w:numPr>
        <w:spacing w:line="276" w:lineRule="auto"/>
        <w:ind w:leftChars="0" w:right="1050" w:rightChars="0" w:firstLine="840" w:firstLineChars="400"/>
        <w:rPr>
          <w:rFonts w:ascii="宋体" w:hAnsi="宋体" w:eastAsia="宋体" w:cs="宋体"/>
          <w:kern w:val="0"/>
          <w:szCs w:val="28"/>
        </w:rPr>
      </w:pPr>
    </w:p>
    <w:p>
      <w:pPr>
        <w:widowControl/>
        <w:numPr>
          <w:ilvl w:val="0"/>
          <w:numId w:val="0"/>
        </w:numPr>
        <w:spacing w:line="276" w:lineRule="auto"/>
        <w:ind w:leftChars="0" w:right="1050" w:rightChars="0" w:firstLine="840" w:firstLineChars="400"/>
        <w:rPr>
          <w:rFonts w:ascii="宋体" w:hAnsi="宋体" w:eastAsia="宋体" w:cs="宋体"/>
          <w:kern w:val="0"/>
          <w:szCs w:val="28"/>
        </w:rPr>
      </w:pPr>
    </w:p>
    <w:p>
      <w:pPr>
        <w:widowControl/>
        <w:numPr>
          <w:ilvl w:val="0"/>
          <w:numId w:val="0"/>
        </w:numPr>
        <w:spacing w:line="276" w:lineRule="auto"/>
        <w:ind w:right="1050" w:rightChars="0" w:firstLine="6510" w:firstLineChars="3100"/>
        <w:rPr>
          <w:rFonts w:ascii="宋体" w:hAnsi="宋体" w:eastAsia="宋体" w:cs="宋体"/>
          <w:kern w:val="0"/>
          <w:szCs w:val="28"/>
        </w:rPr>
      </w:pP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715BBD"/>
    <w:rsid w:val="558B70DA"/>
    <w:rsid w:val="66A50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6</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2020-09-19T08:31:45Z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