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井研县桂祥化工有限责任公司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杨武</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03.08.07,12.01.03,12.01.05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井研县桂祥化工有限责任公司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井研县三江镇三江街</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613107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四川省乐山市井研县三江西街75号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613107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张惠群</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0833-3891139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0833-3891139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刘健</w:t>
            </w:r>
            <w:bookmarkEnd w:id="14"/>
          </w:p>
        </w:tc>
        <w:tc>
          <w:tcPr>
            <w:tcW w:w="1362" w:type="dxa"/>
            <w:gridSpan w:val="2"/>
            <w:vAlign w:val="center"/>
          </w:tcPr>
          <w:p>
            <w:pPr>
              <w:spacing w:line="320" w:lineRule="exact"/>
              <w:jc w:val="center"/>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rPr>
              <w:t>最高管理者</w:t>
            </w:r>
          </w:p>
        </w:tc>
        <w:tc>
          <w:tcPr>
            <w:tcW w:w="1518" w:type="dxa"/>
            <w:gridSpan w:val="2"/>
            <w:vAlign w:val="center"/>
          </w:tcPr>
          <w:p>
            <w:pPr>
              <w:spacing w:line="320" w:lineRule="exact"/>
              <w:jc w:val="center"/>
              <w:rPr>
                <w:rFonts w:hint="eastAsia" w:ascii="宋体" w:hAnsi="宋体" w:cs="Times New Roman"/>
                <w:b/>
                <w:color w:val="000000" w:themeColor="text1"/>
                <w:sz w:val="20"/>
                <w:szCs w:val="20"/>
                <w:lang w:val="en-US" w:eastAsia="zh-CN"/>
              </w:rPr>
            </w:pPr>
            <w:bookmarkStart w:id="15" w:name="最高管理者"/>
            <w:bookmarkEnd w:id="15"/>
            <w:r>
              <w:rPr>
                <w:rFonts w:hint="eastAsia" w:ascii="宋体" w:hAnsi="宋体" w:cs="Times New Roman"/>
                <w:b/>
                <w:color w:val="000000" w:themeColor="text1"/>
                <w:sz w:val="20"/>
                <w:szCs w:val="20"/>
                <w:lang w:val="en-US" w:eastAsia="zh-CN"/>
              </w:rPr>
              <w:t>刘大福</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农用及工业用碳酸氢铵、液氨、氨水、及食品添加剂碳酸氢铵的生产及销售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03.08.07;12.01.03;12.01.05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2020-02-01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办公室</w:t>
            </w:r>
          </w:p>
        </w:tc>
        <w:tc>
          <w:tcPr>
            <w:tcW w:w="6804" w:type="dxa"/>
            <w:vAlign w:val="top"/>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rPr>
              <w:t>方针、目标管理；文件、记录控制程；内审管理；人员、部门职能职责和权限；风险识别评价管理；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生技科</w:t>
            </w:r>
          </w:p>
        </w:tc>
        <w:tc>
          <w:tcPr>
            <w:tcW w:w="6804" w:type="dxa"/>
            <w:vAlign w:val="top"/>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rPr>
              <w:t>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val="en-US" w:eastAsia="zh-CN"/>
              </w:rPr>
              <w:t>供销部</w:t>
            </w:r>
          </w:p>
        </w:tc>
        <w:tc>
          <w:tcPr>
            <w:tcW w:w="6804" w:type="dxa"/>
            <w:vAlign w:val="top"/>
          </w:tcPr>
          <w:p>
            <w:pPr>
              <w:jc w:val="left"/>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rPr>
              <w:t>合同管理；客户管理</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质安环科</w:t>
            </w:r>
          </w:p>
        </w:tc>
        <w:tc>
          <w:tcPr>
            <w:tcW w:w="6804" w:type="dxa"/>
          </w:tcPr>
          <w:p>
            <w:pPr>
              <w:jc w:val="left"/>
              <w:rPr>
                <w:rFonts w:hint="default"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监视测量设备管理；</w:t>
            </w:r>
            <w:r>
              <w:rPr>
                <w:rFonts w:hint="eastAsia" w:ascii="宋体" w:hAnsi="宋体" w:eastAsia="宋体" w:cs="Times New Roman"/>
                <w:b/>
                <w:color w:val="000000" w:themeColor="text1"/>
                <w:sz w:val="20"/>
                <w:szCs w:val="20"/>
              </w:rPr>
              <w:t>不合格品控制；纠正和预防措施控制</w:t>
            </w:r>
            <w:r>
              <w:rPr>
                <w:rFonts w:hint="eastAsia" w:ascii="宋体" w:hAnsi="宋体" w:eastAsia="宋体" w:cs="Times New Roman"/>
                <w:b/>
                <w:color w:val="000000" w:themeColor="text1"/>
                <w:sz w:val="20"/>
                <w:szCs w:val="20"/>
                <w:lang w:eastAsia="zh-CN"/>
              </w:rPr>
              <w:t>；</w:t>
            </w:r>
            <w:r>
              <w:rPr>
                <w:rFonts w:hint="eastAsia" w:ascii="宋体" w:hAnsi="宋体" w:eastAsia="宋体" w:cs="Times New Roman"/>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化工车间</w:t>
            </w:r>
          </w:p>
        </w:tc>
        <w:tc>
          <w:tcPr>
            <w:tcW w:w="6804" w:type="dxa"/>
          </w:tcPr>
          <w:p>
            <w:pPr>
              <w:jc w:val="left"/>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策划管理；过程监控管理；</w:t>
            </w:r>
            <w:r>
              <w:rPr>
                <w:rFonts w:hint="eastAsia" w:ascii="宋体" w:hAnsi="宋体" w:eastAsia="宋体" w:cs="Times New Roman"/>
                <w:b/>
                <w:color w:val="000000" w:themeColor="text1"/>
                <w:sz w:val="20"/>
                <w:szCs w:val="20"/>
                <w:lang w:val="en-US" w:eastAsia="zh-CN"/>
              </w:rPr>
              <w:t>生产</w:t>
            </w:r>
            <w:r>
              <w:rPr>
                <w:rFonts w:hint="eastAsia" w:ascii="宋体" w:hAnsi="宋体" w:eastAsia="宋体" w:cs="Times New Roman"/>
                <w:b/>
                <w:color w:val="000000" w:themeColor="text1"/>
                <w:sz w:val="20"/>
                <w:szCs w:val="20"/>
              </w:rPr>
              <w:t>过程管理；设备设施管理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highlight w:val="none"/>
              </w:rPr>
            </w:pPr>
            <w:r>
              <w:rPr>
                <w:sz w:val="20"/>
                <w:highlight w:val="none"/>
              </w:rPr>
              <w:t>农用及工业用碳酸氢铵、液氨、氨水、及食品添加剂碳酸氢铵的生产及销售</w:t>
            </w:r>
          </w:p>
        </w:tc>
        <w:tc>
          <w:tcPr>
            <w:tcW w:w="2519" w:type="dxa"/>
          </w:tcPr>
          <w:p>
            <w:pPr>
              <w:rPr>
                <w:b/>
                <w:color w:val="000000" w:themeColor="text1"/>
                <w:sz w:val="20"/>
                <w:szCs w:val="20"/>
                <w:highlight w:val="none"/>
              </w:rPr>
            </w:pPr>
          </w:p>
        </w:tc>
        <w:tc>
          <w:tcPr>
            <w:tcW w:w="1843" w:type="dxa"/>
          </w:tcPr>
          <w:p>
            <w:pPr>
              <w:rPr>
                <w:b/>
                <w:color w:val="000000" w:themeColor="text1"/>
                <w:sz w:val="20"/>
                <w:szCs w:val="20"/>
                <w:highlight w:val="yellow"/>
              </w:rPr>
            </w:pPr>
          </w:p>
        </w:tc>
        <w:tc>
          <w:tcPr>
            <w:tcW w:w="3543" w:type="dxa"/>
          </w:tcPr>
          <w:p>
            <w:pPr>
              <w:rPr>
                <w:b/>
                <w:color w:val="000000" w:themeColor="text1"/>
                <w:sz w:val="20"/>
                <w:szCs w:val="20"/>
                <w:highlight w:val="yellow"/>
              </w:rPr>
            </w:pPr>
            <w:r>
              <w:rPr>
                <w:rFonts w:hint="eastAsia" w:ascii="宋体" w:hAnsi="宋体" w:cs="宋体"/>
                <w:szCs w:val="21"/>
                <w:highlight w:val="none"/>
              </w:rPr>
              <w:t>液体无水氨GB 536-2017</w:t>
            </w:r>
            <w:r>
              <w:rPr>
                <w:rFonts w:hint="eastAsia" w:ascii="宋体" w:hAnsi="宋体" w:cs="宋体"/>
                <w:szCs w:val="21"/>
                <w:highlight w:val="none"/>
                <w:lang w:eastAsia="zh-CN"/>
              </w:rPr>
              <w:t>、</w:t>
            </w:r>
            <w:r>
              <w:rPr>
                <w:rFonts w:hint="eastAsia" w:ascii="宋体" w:hAnsi="宋体" w:cs="宋体"/>
                <w:szCs w:val="21"/>
                <w:highlight w:val="none"/>
              </w:rPr>
              <w:t>食品安全国家标准 食品添加剂 碳酸氢铵GB 1888-2014</w:t>
            </w:r>
            <w:r>
              <w:rPr>
                <w:rFonts w:hint="eastAsia" w:ascii="宋体" w:hAnsi="宋体" w:cs="宋体"/>
                <w:szCs w:val="21"/>
                <w:highlight w:val="none"/>
                <w:lang w:eastAsia="zh-CN"/>
              </w:rPr>
              <w:t>、</w:t>
            </w:r>
            <w:r>
              <w:rPr>
                <w:rFonts w:hint="eastAsia" w:ascii="宋体" w:hAnsi="宋体" w:cs="宋体"/>
                <w:szCs w:val="21"/>
                <w:highlight w:val="none"/>
              </w:rPr>
              <w:t>农业用碳酸氢铵GB/T 3559-2001</w:t>
            </w:r>
            <w:r>
              <w:rPr>
                <w:rFonts w:hint="eastAsia" w:ascii="宋体" w:hAnsi="宋体" w:cs="宋体"/>
                <w:szCs w:val="21"/>
                <w:highlight w:val="none"/>
                <w:lang w:eastAsia="zh-CN"/>
              </w:rPr>
              <w:t>、</w:t>
            </w:r>
            <w:r>
              <w:rPr>
                <w:rFonts w:hint="eastAsia" w:ascii="宋体" w:hAnsi="宋体" w:cs="宋体"/>
                <w:szCs w:val="21"/>
                <w:highlight w:val="none"/>
              </w:rPr>
              <w:t>化学试剂 氨水GB/T 631-2007等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2020年02月01日至2020年09月25日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20" w:firstLineChars="200"/>
              <w:rPr>
                <w:rFonts w:hint="eastAsia" w:ascii="宋体" w:hAnsi="宋体" w:cs="宋体"/>
                <w:color w:val="000000"/>
                <w:szCs w:val="24"/>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color w:val="000000"/>
                <w:szCs w:val="24"/>
              </w:rPr>
              <w:t>合理成本、有效管理、一流产品、优质服务</w:t>
            </w:r>
          </w:p>
          <w:p>
            <w:pPr>
              <w:numPr>
                <w:ilvl w:val="0"/>
                <w:numId w:val="0"/>
              </w:numPr>
              <w:spacing w:line="280" w:lineRule="exact"/>
              <w:ind w:firstLine="211" w:firstLineChars="100"/>
              <w:rPr>
                <w:rFonts w:hint="eastAsia" w:eastAsia="宋体"/>
                <w:b/>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highlight w:val="none"/>
              </w:rPr>
            </w:pPr>
            <w:r>
              <w:rPr>
                <w:rFonts w:hint="eastAsia" w:ascii="宋体" w:hAnsi="宋体"/>
                <w:b/>
                <w:color w:val="000000" w:themeColor="text1"/>
                <w:sz w:val="20"/>
                <w:szCs w:val="20"/>
                <w:highlight w:val="none"/>
              </w:rPr>
              <w:t>质量管理体系过程有：</w:t>
            </w:r>
            <w:r>
              <w:rPr>
                <w:sz w:val="20"/>
                <w:highlight w:val="none"/>
              </w:rPr>
              <w:t>农用及工业用碳酸氢铵、液氨、氨水、及食品添加剂碳酸氢铵的生产及销售</w:t>
            </w:r>
            <w:r>
              <w:rPr>
                <w:rFonts w:hint="eastAsia" w:ascii="宋体" w:hAnsi="宋体"/>
                <w:szCs w:val="21"/>
                <w:highlight w:val="none"/>
              </w:rPr>
              <w:t xml:space="preserve">  </w:t>
            </w:r>
          </w:p>
          <w:p>
            <w:pPr>
              <w:tabs>
                <w:tab w:val="left" w:pos="540"/>
              </w:tabs>
              <w:spacing w:line="300" w:lineRule="exact"/>
              <w:rPr>
                <w:rFonts w:hint="eastAsia" w:ascii="宋体" w:hAnsi="宋体" w:eastAsia="宋体"/>
                <w:b/>
                <w:color w:val="000000" w:themeColor="text1"/>
                <w:sz w:val="20"/>
                <w:szCs w:val="20"/>
                <w:highlight w:val="none"/>
                <w:u w:val="single"/>
                <w:lang w:eastAsia="zh-CN"/>
              </w:rPr>
            </w:pPr>
            <w:r>
              <w:rPr>
                <w:rFonts w:hint="eastAsia" w:ascii="宋体" w:hAnsi="宋体"/>
                <w:b/>
                <w:color w:val="000000" w:themeColor="text1"/>
                <w:sz w:val="20"/>
                <w:szCs w:val="20"/>
                <w:highlight w:val="none"/>
              </w:rPr>
              <w:t>其中关键过程有：</w:t>
            </w:r>
            <w:r>
              <w:rPr>
                <w:rFonts w:hint="eastAsia" w:ascii="宋体" w:hAnsi="宋体" w:cs="宋体"/>
                <w:iCs/>
                <w:szCs w:val="21"/>
                <w:highlight w:val="none"/>
                <w:lang w:val="en-US" w:eastAsia="zh-CN"/>
              </w:rPr>
              <w:t>转化过程、中低变过程、碳化过程、合成过程</w:t>
            </w:r>
          </w:p>
          <w:p>
            <w:pPr>
              <w:tabs>
                <w:tab w:val="left" w:pos="540"/>
              </w:tabs>
              <w:spacing w:line="300" w:lineRule="exact"/>
              <w:ind w:left="201" w:hanging="201" w:hangingChars="100"/>
              <w:rPr>
                <w:rFonts w:hint="default" w:ascii="宋体" w:hAnsi="宋体" w:eastAsia="宋体"/>
                <w:b/>
                <w:color w:val="000000" w:themeColor="text1"/>
                <w:sz w:val="20"/>
                <w:szCs w:val="20"/>
                <w:highlight w:val="none"/>
                <w:lang w:val="en-US" w:eastAsia="zh-CN"/>
              </w:rPr>
            </w:pPr>
            <w:r>
              <w:rPr>
                <w:rFonts w:hint="eastAsia" w:ascii="宋体" w:hAnsi="宋体"/>
                <w:b/>
                <w:color w:val="000000" w:themeColor="text1"/>
                <w:sz w:val="20"/>
                <w:szCs w:val="20"/>
                <w:highlight w:val="none"/>
              </w:rPr>
              <w:t>需要确认</w:t>
            </w:r>
            <w:bookmarkStart w:id="21" w:name="_GoBack"/>
            <w:r>
              <w:rPr>
                <w:rFonts w:hint="eastAsia" w:ascii="宋体" w:hAnsi="宋体"/>
                <w:b/>
                <w:color w:val="000000" w:themeColor="text1"/>
                <w:sz w:val="20"/>
                <w:szCs w:val="20"/>
                <w:highlight w:val="none"/>
              </w:rPr>
              <w:t>过</w:t>
            </w:r>
            <w:r>
              <w:rPr>
                <w:rFonts w:hint="eastAsia" w:ascii="宋体" w:hAnsi="宋体"/>
                <w:b/>
                <w:color w:val="000000" w:themeColor="text1"/>
                <w:sz w:val="20"/>
                <w:szCs w:val="20"/>
                <w:highlight w:val="none"/>
                <w:lang w:val="en-US" w:eastAsia="zh-CN"/>
              </w:rPr>
              <w:t>程</w:t>
            </w:r>
            <w:bookmarkEnd w:id="21"/>
            <w:r>
              <w:rPr>
                <w:rFonts w:hint="eastAsia" w:ascii="宋体" w:hAnsi="宋体" w:cs="宋体"/>
                <w:iCs/>
                <w:szCs w:val="21"/>
                <w:highlight w:val="none"/>
                <w:lang w:val="en-US" w:eastAsia="zh-CN"/>
              </w:rPr>
              <w:t>： 销售服务过程</w:t>
            </w:r>
          </w:p>
          <w:p>
            <w:pPr>
              <w:tabs>
                <w:tab w:val="left" w:pos="540"/>
              </w:tabs>
              <w:spacing w:line="300" w:lineRule="exact"/>
              <w:ind w:left="201" w:hanging="201" w:hangingChars="100"/>
              <w:rPr>
                <w:rFonts w:hint="default" w:ascii="宋体" w:hAnsi="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 xml:space="preserve">外包过程：   </w:t>
            </w:r>
            <w:r>
              <w:rPr>
                <w:rFonts w:hint="eastAsia" w:ascii="宋体" w:hAnsi="宋体" w:cs="宋体"/>
                <w:iCs/>
                <w:szCs w:val="21"/>
                <w:highlight w:val="none"/>
                <w:lang w:val="en-US" w:eastAsia="zh-CN"/>
              </w:rPr>
              <w:t>运输过程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6715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不适用条款是 Q8.3       ，不适用</w:t>
            </w:r>
            <w:r>
              <w:rPr>
                <w:rFonts w:hint="eastAsia" w:ascii="宋体" w:hAnsi="宋体"/>
                <w:b/>
                <w:color w:val="000000" w:themeColor="text1"/>
                <w:sz w:val="20"/>
                <w:szCs w:val="20"/>
              </w:rPr>
              <w:t>理由：</w:t>
            </w:r>
            <w:r>
              <w:rPr>
                <w:rFonts w:hint="eastAsia" w:ascii="宋体" w:hAnsi="宋体"/>
                <w:sz w:val="21"/>
                <w:szCs w:val="21"/>
              </w:rPr>
              <w:t>公司不具备设计资质，故所有产品均按国家或行业标准的要求，不涉及设计开发</w:t>
            </w:r>
            <w:r>
              <w:rPr>
                <w:rFonts w:hint="eastAsia" w:ascii="宋体" w:hAnsi="宋体"/>
                <w:sz w:val="21"/>
                <w:szCs w:val="21"/>
                <w:lang w:eastAsia="zh-CN"/>
              </w:rPr>
              <w:t>。</w:t>
            </w:r>
            <w:r>
              <w:rPr>
                <w:rFonts w:hint="eastAsia" w:ascii="宋体" w:hAnsi="宋体"/>
                <w:sz w:val="21"/>
                <w:szCs w:val="21"/>
                <w:lang w:val="en-US" w:eastAsia="zh-CN"/>
              </w:rPr>
              <w:t>公司确保不适用的质量管理体系的产品的设计和开发要求，不影响组织确保产品和服务合格以及增强顾客满意的能力或责任。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spacing w:line="360" w:lineRule="auto"/>
              <w:jc w:val="left"/>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 客户处理</w:t>
            </w:r>
            <w:r>
              <w:rPr>
                <w:rFonts w:hint="eastAsia" w:ascii="宋体" w:hAnsi="宋体" w:cs="宋体"/>
                <w:color w:val="auto"/>
                <w:szCs w:val="24"/>
                <w:highlight w:val="none"/>
              </w:rPr>
              <w:t>满意率≥9</w:t>
            </w:r>
            <w:r>
              <w:rPr>
                <w:rFonts w:hint="eastAsia" w:ascii="宋体" w:hAnsi="宋体" w:cs="宋体"/>
                <w:color w:val="auto"/>
                <w:szCs w:val="24"/>
                <w:highlight w:val="none"/>
                <w:lang w:val="en-US" w:eastAsia="zh-CN"/>
              </w:rPr>
              <w:t xml:space="preserve">5分；      </w:t>
            </w:r>
          </w:p>
          <w:p>
            <w:pPr>
              <w:spacing w:line="300" w:lineRule="exact"/>
              <w:rPr>
                <w:rFonts w:ascii="宋体" w:hAnsi="宋体"/>
                <w:b/>
                <w:color w:val="000000" w:themeColor="text1"/>
              </w:rPr>
            </w:pPr>
            <w:r>
              <w:rPr>
                <w:rFonts w:hint="eastAsia" w:ascii="宋体" w:hAnsi="宋体" w:cs="宋体"/>
                <w:color w:val="auto"/>
                <w:szCs w:val="24"/>
                <w:highlight w:val="none"/>
                <w:lang w:val="en-US" w:eastAsia="zh-CN"/>
              </w:rPr>
              <w:t>2. 产品产品出厂合格率100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02</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spacing w:line="300" w:lineRule="exact"/>
              <w:ind w:firstLine="420" w:firstLineChars="200"/>
              <w:rPr>
                <w:rFonts w:ascii="宋体" w:hAnsi="宋体"/>
                <w:b/>
                <w:color w:val="000000" w:themeColor="text1"/>
                <w:sz w:val="20"/>
                <w:szCs w:val="20"/>
                <w:highlight w:val="none"/>
              </w:rPr>
            </w:pPr>
            <w:r>
              <w:rPr>
                <w:rFonts w:hint="eastAsia" w:ascii="宋体" w:hAnsi="宋体"/>
                <w:bCs/>
                <w:iCs/>
                <w:szCs w:val="22"/>
                <w:highlight w:val="none"/>
                <w:lang w:val="en-US" w:eastAsia="zh-CN"/>
              </w:rPr>
              <w:t>公司总面积46500平方米，办公室面积1200平方米，办公室与生产车间、库房</w:t>
            </w:r>
            <w:r>
              <w:rPr>
                <w:rFonts w:hint="eastAsia" w:ascii="宋体" w:hAnsi="宋体"/>
                <w:bCs/>
                <w:iCs/>
                <w:szCs w:val="22"/>
                <w:highlight w:val="none"/>
                <w:lang w:eastAsia="zh-CN"/>
              </w:rPr>
              <w:t>分区</w:t>
            </w:r>
            <w:r>
              <w:rPr>
                <w:rFonts w:hint="eastAsia" w:ascii="宋体" w:hAnsi="宋体"/>
                <w:bCs/>
                <w:iCs/>
                <w:szCs w:val="22"/>
                <w:highlight w:val="none"/>
                <w:lang w:val="en-US" w:eastAsia="zh-CN"/>
              </w:rPr>
              <w:t>设置</w:t>
            </w:r>
            <w:r>
              <w:rPr>
                <w:rFonts w:hint="eastAsia" w:ascii="宋体" w:hAnsi="宋体"/>
                <w:bCs/>
                <w:iCs/>
                <w:highlight w:val="none"/>
              </w:rPr>
              <w:t>.主要生产设备包括</w:t>
            </w:r>
            <w:r>
              <w:rPr>
                <w:rFonts w:hint="eastAsia" w:ascii="宋体" w:hAnsi="宋体"/>
                <w:bCs/>
                <w:iCs/>
                <w:highlight w:val="none"/>
                <w:lang w:eastAsia="zh-CN"/>
              </w:rPr>
              <w:t>：</w:t>
            </w:r>
            <w:r>
              <w:rPr>
                <w:rFonts w:hint="eastAsia" w:ascii="宋体" w:hAnsi="宋体"/>
                <w:bCs/>
                <w:iCs/>
                <w:highlight w:val="none"/>
                <w:lang w:val="en-US" w:eastAsia="zh-CN"/>
              </w:rPr>
              <w:t>压缩机、碳化塔装置、脱硫装置、转化装置、中低变甲烷化装置、合成装置、液氨罐、行车、离心机、叉车、烘干装置、变配电装置、循环水装置、污水处理站等</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val="en-US" w:eastAsia="zh-CN"/>
              </w:rPr>
              <w:t>叉车、行车等详见附件，</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val="en-US" w:eastAsia="zh-CN"/>
              </w:rPr>
              <w:t>质安环科</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default" w:ascii="宋体" w:hAnsi="宋体" w:eastAsia="宋体"/>
                <w:b/>
                <w:color w:val="000000" w:themeColor="text1"/>
                <w:sz w:val="20"/>
                <w:szCs w:val="20"/>
                <w:lang w:val="en-US" w:eastAsia="zh-CN"/>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r>
              <w:rPr>
                <w:rFonts w:hint="eastAsia" w:ascii="宋体" w:hAnsi="宋体" w:cs="宋体"/>
                <w:color w:val="000000"/>
                <w:szCs w:val="21"/>
                <w:lang w:eastAsia="zh-CN"/>
              </w:rPr>
              <w:t>，</w:t>
            </w:r>
            <w:r>
              <w:rPr>
                <w:rFonts w:hint="eastAsia" w:ascii="宋体" w:hAnsi="宋体" w:cs="宋体"/>
                <w:color w:val="000000"/>
                <w:szCs w:val="21"/>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szCs w:val="24"/>
                <w:highlight w:val="none"/>
                <w:lang w:val="en-US" w:eastAsia="zh-CN"/>
              </w:rPr>
            </w:pPr>
          </w:p>
          <w:p>
            <w:pPr>
              <w:spacing w:line="240" w:lineRule="exact"/>
              <w:ind w:firstLine="420" w:firstLineChars="200"/>
              <w:rPr>
                <w:rFonts w:hint="default" w:ascii="宋体" w:hAnsi="宋体" w:cs="宋体"/>
                <w:color w:val="000000" w:themeColor="text1"/>
                <w:szCs w:val="21"/>
                <w:lang w:val="en-US" w:eastAsia="zh-CN"/>
              </w:rPr>
            </w:pPr>
            <w:r>
              <w:rPr>
                <w:rFonts w:hint="eastAsia" w:ascii="宋体" w:hAnsi="宋体" w:cs="宋体"/>
                <w:szCs w:val="24"/>
                <w:highlight w:val="none"/>
                <w:lang w:val="en-US" w:eastAsia="zh-CN"/>
              </w:rPr>
              <w:t>提供四川省危险化学品质量监督检验所</w:t>
            </w:r>
            <w:r>
              <w:rPr>
                <w:rFonts w:hint="eastAsia" w:ascii="宋体" w:hAnsi="宋体" w:cs="宋体"/>
                <w:szCs w:val="24"/>
                <w:highlight w:val="none"/>
              </w:rPr>
              <w:t>在20</w:t>
            </w:r>
            <w:r>
              <w:rPr>
                <w:rFonts w:hint="eastAsia" w:ascii="宋体" w:hAnsi="宋体" w:cs="宋体"/>
                <w:szCs w:val="24"/>
                <w:highlight w:val="none"/>
                <w:lang w:val="en-US" w:eastAsia="zh-CN"/>
              </w:rPr>
              <w:t>20</w:t>
            </w:r>
            <w:r>
              <w:rPr>
                <w:rFonts w:hint="eastAsia" w:ascii="宋体" w:hAnsi="宋体" w:cs="宋体"/>
                <w:szCs w:val="24"/>
                <w:highlight w:val="none"/>
              </w:rPr>
              <w:t>年</w:t>
            </w:r>
            <w:r>
              <w:rPr>
                <w:rFonts w:hint="eastAsia" w:ascii="宋体" w:hAnsi="宋体" w:cs="宋体"/>
                <w:szCs w:val="24"/>
                <w:highlight w:val="none"/>
                <w:lang w:val="en-US" w:eastAsia="zh-CN"/>
              </w:rPr>
              <w:t>5月进行的液体无水氨抽查报告，抽查结果合格。</w:t>
            </w:r>
          </w:p>
          <w:p>
            <w:pPr>
              <w:spacing w:line="240" w:lineRule="exact"/>
              <w:ind w:firstLine="402" w:firstLineChars="200"/>
              <w:rPr>
                <w:rFonts w:hint="eastAsia" w:eastAsia="宋体"/>
                <w:b/>
                <w:color w:val="000000" w:themeColor="text1"/>
                <w:sz w:val="20"/>
                <w:szCs w:val="20"/>
                <w:lang w:val="en-US" w:eastAsia="zh-CN"/>
              </w:rPr>
            </w:pPr>
            <w:r>
              <w:rPr>
                <w:rFonts w:hint="eastAsia"/>
                <w:b/>
                <w:color w:val="000000" w:themeColor="text1"/>
                <w:sz w:val="20"/>
                <w:szCs w:val="20"/>
              </w:rPr>
              <w:t>（附相关证据）：</w:t>
            </w:r>
            <w:r>
              <w:rPr>
                <w:rFonts w:hint="eastAsia" w:ascii="宋体" w:hAnsi="宋体" w:cs="宋体"/>
                <w:szCs w:val="24"/>
                <w:highlight w:val="no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行车、叉车等详见附件。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highlight w:val="none"/>
              </w:rPr>
            </w:pPr>
            <w:r>
              <w:rPr>
                <w:rFonts w:hint="eastAsia"/>
                <w:b/>
                <w:color w:val="000000" w:themeColor="text1"/>
                <w:sz w:val="20"/>
                <w:szCs w:val="20"/>
                <w:highlight w:val="none"/>
              </w:rPr>
              <w:t>11 .对危险化学品销售、使用、储存、运输处置，规定的执行力度(必要时);</w:t>
            </w:r>
            <w:r>
              <w:rPr>
                <w:rFonts w:hint="eastAsia"/>
                <w:b/>
                <w:color w:val="FF0000"/>
                <w:sz w:val="20"/>
                <w:szCs w:val="20"/>
                <w:highlight w:val="none"/>
              </w:rPr>
              <w:t xml:space="preserve"> </w:t>
            </w:r>
            <w:r>
              <w:rPr>
                <w:rFonts w:hint="eastAsia"/>
                <w:b/>
                <w:sz w:val="20"/>
                <w:szCs w:val="20"/>
                <w:highlight w:val="none"/>
              </w:rPr>
              <w:t>（适用时）</w:t>
            </w:r>
          </w:p>
          <w:p>
            <w:pPr>
              <w:spacing w:line="240" w:lineRule="exact"/>
              <w:ind w:firstLine="420" w:firstLineChars="200"/>
              <w:rPr>
                <w:rFonts w:hint="default" w:eastAsia="宋体"/>
                <w:color w:val="FF0000"/>
                <w:sz w:val="20"/>
                <w:szCs w:val="20"/>
                <w:highlight w:val="none"/>
                <w:lang w:val="en-US" w:eastAsia="zh-CN"/>
              </w:rPr>
            </w:pPr>
            <w:r>
              <w:rPr>
                <w:rFonts w:hint="eastAsia" w:ascii="宋体" w:hAnsi="宋体" w:cs="宋体"/>
                <w:color w:val="000000"/>
                <w:szCs w:val="21"/>
                <w:highlight w:val="none"/>
                <w:lang w:val="en-US" w:eastAsia="zh-CN"/>
              </w:rPr>
              <w:t>执行氨水化学品安全技术说明书-(MSDS)、液氨技术说明书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525" w:firstLineChars="2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3-6</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7-8</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涉及化工车间不符合标准8.5.1条款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cs="宋体"/>
                <w:color w:val="000000"/>
                <w:szCs w:val="24"/>
                <w:highlight w:val="none"/>
              </w:rPr>
              <w:t>2020年5月30日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eastAsia="zh-CN"/>
              </w:rPr>
              <w:t>一</w:t>
            </w:r>
            <w:r>
              <w:rPr>
                <w:rFonts w:hint="eastAsia" w:ascii="宋体" w:hAnsi="宋体" w:cs="宋体"/>
                <w:color w:val="000000" w:themeColor="text1"/>
                <w:lang w:eastAsia="zh-CN"/>
              </w:rPr>
              <w:t>阶段审核不符合情况：</w:t>
            </w:r>
            <w:r>
              <w:rPr>
                <w:rFonts w:hint="eastAsia" w:ascii="宋体" w:hAnsi="宋体" w:cs="宋体"/>
                <w:color w:val="000000" w:themeColor="text1"/>
                <w:lang w:val="en-US" w:eastAsia="zh-CN"/>
              </w:rPr>
              <w:t>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农用及工业用碳酸氢铵、液氨、氨水、及食品添加剂碳酸氢铵的生产及销售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16"/>
          <w:szCs w:val="16"/>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B75F4C"/>
    <w:rsid w:val="06DA11F9"/>
    <w:rsid w:val="07995840"/>
    <w:rsid w:val="0A5E2C26"/>
    <w:rsid w:val="0AF55B28"/>
    <w:rsid w:val="0B8F3663"/>
    <w:rsid w:val="0C1B280F"/>
    <w:rsid w:val="0FEA0F9E"/>
    <w:rsid w:val="1043067B"/>
    <w:rsid w:val="10F4708D"/>
    <w:rsid w:val="146D70A9"/>
    <w:rsid w:val="151506E5"/>
    <w:rsid w:val="1583797D"/>
    <w:rsid w:val="18EB01BC"/>
    <w:rsid w:val="198241DA"/>
    <w:rsid w:val="1B39200E"/>
    <w:rsid w:val="1DD261AB"/>
    <w:rsid w:val="1E3A60D1"/>
    <w:rsid w:val="24433BF9"/>
    <w:rsid w:val="2A9F6D18"/>
    <w:rsid w:val="2B7627E6"/>
    <w:rsid w:val="2B952DC3"/>
    <w:rsid w:val="2BB67AFF"/>
    <w:rsid w:val="2C503CDB"/>
    <w:rsid w:val="2CF90323"/>
    <w:rsid w:val="2EB02149"/>
    <w:rsid w:val="2FBA6087"/>
    <w:rsid w:val="302150CE"/>
    <w:rsid w:val="34694BE8"/>
    <w:rsid w:val="35A55A85"/>
    <w:rsid w:val="36E7536D"/>
    <w:rsid w:val="3A8A7366"/>
    <w:rsid w:val="3FCC465D"/>
    <w:rsid w:val="415D0F1C"/>
    <w:rsid w:val="4430761C"/>
    <w:rsid w:val="444A52F0"/>
    <w:rsid w:val="47C63A06"/>
    <w:rsid w:val="48F12FDF"/>
    <w:rsid w:val="4AF912D5"/>
    <w:rsid w:val="4DE9616B"/>
    <w:rsid w:val="51441A19"/>
    <w:rsid w:val="54020E81"/>
    <w:rsid w:val="54CB5603"/>
    <w:rsid w:val="581D46C1"/>
    <w:rsid w:val="596C2C21"/>
    <w:rsid w:val="5B717802"/>
    <w:rsid w:val="5C363986"/>
    <w:rsid w:val="5DA209E4"/>
    <w:rsid w:val="5F4F5C94"/>
    <w:rsid w:val="60AE2BDB"/>
    <w:rsid w:val="61150430"/>
    <w:rsid w:val="653B5F02"/>
    <w:rsid w:val="65B626FF"/>
    <w:rsid w:val="65F458B4"/>
    <w:rsid w:val="66DE6B41"/>
    <w:rsid w:val="68025F50"/>
    <w:rsid w:val="68E8774A"/>
    <w:rsid w:val="68E944FB"/>
    <w:rsid w:val="69EE00F6"/>
    <w:rsid w:val="6A16346C"/>
    <w:rsid w:val="6AA14640"/>
    <w:rsid w:val="6AE23414"/>
    <w:rsid w:val="6B2E04FF"/>
    <w:rsid w:val="6B7B01A5"/>
    <w:rsid w:val="702D2A6B"/>
    <w:rsid w:val="71AC1B34"/>
    <w:rsid w:val="71D125FC"/>
    <w:rsid w:val="72625484"/>
    <w:rsid w:val="784A4221"/>
    <w:rsid w:val="7D572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2020-09-23T01:25:30Z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