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1095"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0671" w:type="dxa"/>
            <w:vAlign w:val="center"/>
          </w:tcPr>
          <w:p>
            <w:pPr>
              <w:rPr>
                <w:b/>
                <w:bCs/>
                <w:sz w:val="24"/>
                <w:szCs w:val="24"/>
              </w:rPr>
            </w:pPr>
            <w:r>
              <w:rPr>
                <w:rFonts w:hint="eastAsia"/>
                <w:b/>
                <w:bCs/>
                <w:sz w:val="24"/>
                <w:szCs w:val="24"/>
              </w:rPr>
              <w:t>受审核部门：管理层     主管领导：陈喜            陪同人员：王顺</w:t>
            </w:r>
          </w:p>
        </w:tc>
        <w:tc>
          <w:tcPr>
            <w:tcW w:w="7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before="120"/>
              <w:rPr>
                <w:b/>
                <w:bCs/>
              </w:rPr>
            </w:pPr>
            <w:r>
              <w:rPr>
                <w:rFonts w:hint="eastAsia"/>
                <w:b/>
                <w:bCs/>
                <w:sz w:val="24"/>
                <w:szCs w:val="24"/>
              </w:rPr>
              <w:t>审核员：张鹏          审核时间：2020.9.27</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line="360" w:lineRule="auto"/>
              <w:ind w:firstLine="240" w:firstLineChars="100"/>
              <w:rPr>
                <w:rFonts w:ascii="华文中宋" w:hAnsi="华文中宋" w:eastAsia="华文中宋"/>
                <w:color w:val="000000"/>
                <w:sz w:val="24"/>
                <w:szCs w:val="24"/>
              </w:rPr>
            </w:pPr>
            <w:r>
              <w:rPr>
                <w:rFonts w:ascii="华文中宋" w:hAnsi="华文中宋" w:eastAsia="华文中宋"/>
                <w:color w:val="000000"/>
                <w:sz w:val="24"/>
                <w:szCs w:val="24"/>
              </w:rPr>
              <w:t>管理层：EO4.1/4.2/4.3/4.4/5.1/5.2/5.3/6.1/6.2/7.</w:t>
            </w:r>
            <w:r>
              <w:rPr>
                <w:rFonts w:hint="eastAsia" w:ascii="华文中宋" w:hAnsi="华文中宋" w:eastAsia="华文中宋"/>
                <w:color w:val="000000"/>
                <w:sz w:val="24"/>
                <w:szCs w:val="24"/>
              </w:rPr>
              <w:t>1</w:t>
            </w:r>
            <w:r>
              <w:rPr>
                <w:rFonts w:ascii="华文中宋" w:hAnsi="华文中宋" w:eastAsia="华文中宋"/>
                <w:color w:val="000000"/>
                <w:sz w:val="24"/>
                <w:szCs w:val="24"/>
              </w:rPr>
              <w:t>/9.1</w:t>
            </w:r>
            <w:r>
              <w:rPr>
                <w:rFonts w:hint="eastAsia" w:ascii="华文中宋" w:hAnsi="华文中宋" w:eastAsia="华文中宋"/>
                <w:color w:val="000000"/>
                <w:sz w:val="24"/>
                <w:szCs w:val="24"/>
              </w:rPr>
              <w:t>/</w:t>
            </w:r>
            <w:r>
              <w:rPr>
                <w:rFonts w:ascii="华文中宋" w:hAnsi="华文中宋" w:eastAsia="华文中宋"/>
                <w:color w:val="000000"/>
                <w:sz w:val="24"/>
                <w:szCs w:val="24"/>
              </w:rPr>
              <w:t>9.3/10.1/10.3</w:t>
            </w:r>
            <w:r>
              <w:rPr>
                <w:rFonts w:hint="eastAsia" w:ascii="华文中宋" w:hAnsi="华文中宋" w:eastAsia="华文中宋"/>
                <w:color w:val="000000"/>
                <w:sz w:val="24"/>
                <w:szCs w:val="24"/>
              </w:rPr>
              <w:t>；</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160" w:type="dxa"/>
          </w:tcPr>
          <w:p>
            <w:pPr>
              <w:spacing w:before="120"/>
              <w:rPr>
                <w:sz w:val="24"/>
                <w:szCs w:val="24"/>
              </w:rPr>
            </w:pPr>
            <w:r>
              <w:rPr>
                <w:rFonts w:hint="eastAsia"/>
                <w:sz w:val="24"/>
                <w:szCs w:val="24"/>
              </w:rPr>
              <w:t>理解组织及其环境</w:t>
            </w:r>
          </w:p>
        </w:tc>
        <w:tc>
          <w:tcPr>
            <w:tcW w:w="1095" w:type="dxa"/>
          </w:tcPr>
          <w:p>
            <w:pPr>
              <w:spacing w:before="120"/>
              <w:rPr>
                <w:sz w:val="24"/>
                <w:szCs w:val="24"/>
              </w:rPr>
            </w:pPr>
            <w:r>
              <w:rPr>
                <w:rFonts w:hint="eastAsia"/>
                <w:sz w:val="24"/>
                <w:szCs w:val="24"/>
              </w:rPr>
              <w:t>EO:4.1</w:t>
            </w:r>
          </w:p>
        </w:tc>
        <w:tc>
          <w:tcPr>
            <w:tcW w:w="10671" w:type="dxa"/>
          </w:tcPr>
          <w:p>
            <w:pPr>
              <w:pStyle w:val="3"/>
              <w:spacing w:before="0" w:after="0" w:line="360" w:lineRule="auto"/>
              <w:ind w:firstLine="480" w:firstLineChars="200"/>
              <w:rPr>
                <w:rFonts w:hint="eastAsia" w:ascii="宋体" w:hAnsi="宋体" w:cs="宋体"/>
                <w:b w:val="0"/>
                <w:color w:val="333333"/>
                <w:sz w:val="24"/>
                <w:szCs w:val="24"/>
                <w:shd w:val="clear" w:color="auto" w:fill="FFFFFF"/>
              </w:rPr>
            </w:pPr>
            <w:r>
              <w:rPr>
                <w:rFonts w:hint="eastAsia" w:ascii="宋体" w:hAnsi="宋体" w:cs="宋体"/>
                <w:b w:val="0"/>
                <w:color w:val="333333"/>
                <w:sz w:val="24"/>
                <w:szCs w:val="24"/>
                <w:shd w:val="clear" w:color="auto" w:fill="FFFFFF"/>
              </w:rPr>
              <w:t>河北斯力恩索具有限公司成立于2005年02月02日，注册资金2600万元。法定代表人陈喜。</w:t>
            </w:r>
          </w:p>
          <w:p>
            <w:pPr>
              <w:pStyle w:val="3"/>
              <w:spacing w:before="0" w:after="0" w:line="360" w:lineRule="auto"/>
              <w:ind w:firstLine="480" w:firstLineChars="200"/>
              <w:rPr>
                <w:sz w:val="24"/>
                <w:szCs w:val="24"/>
              </w:rPr>
            </w:pPr>
            <w:r>
              <w:rPr>
                <w:rFonts w:hint="eastAsia" w:ascii="宋体" w:hAnsi="宋体" w:cs="宋体"/>
                <w:b w:val="0"/>
                <w:color w:val="333333"/>
                <w:sz w:val="24"/>
                <w:szCs w:val="24"/>
                <w:shd w:val="clear" w:color="auto" w:fill="FFFFFF"/>
              </w:rPr>
              <w:t>办公室地址位于</w:t>
            </w:r>
            <w:r>
              <w:rPr>
                <w:rFonts w:hint="eastAsia"/>
                <w:b w:val="0"/>
                <w:bCs w:val="0"/>
                <w:sz w:val="24"/>
                <w:szCs w:val="24"/>
              </w:rPr>
              <w:t>保定徐水区大王店镇北龙山村</w:t>
            </w:r>
            <w:r>
              <w:rPr>
                <w:rFonts w:hint="eastAsia" w:ascii="宋体" w:hAnsi="宋体" w:cs="宋体"/>
                <w:b w:val="0"/>
                <w:bCs w:val="0"/>
                <w:color w:val="333333"/>
                <w:sz w:val="24"/>
                <w:szCs w:val="24"/>
                <w:shd w:val="clear" w:color="auto" w:fill="FFFFFF"/>
              </w:rPr>
              <w:t>，在公司发展壮大的几年里，始终为</w:t>
            </w:r>
            <w:r>
              <w:rPr>
                <w:rFonts w:hint="eastAsia" w:ascii="宋体" w:hAnsi="宋体" w:cs="宋体"/>
                <w:b w:val="0"/>
                <w:color w:val="333333"/>
                <w:sz w:val="24"/>
                <w:szCs w:val="24"/>
                <w:shd w:val="clear" w:color="auto" w:fill="FFFFFF"/>
              </w:rPr>
              <w:t>客户提供好的产品和技术支持、健全的售后服务，公司主要经营</w:t>
            </w:r>
            <w:r>
              <w:rPr>
                <w:rFonts w:hint="eastAsia"/>
                <w:b w:val="0"/>
                <w:bCs w:val="0"/>
                <w:sz w:val="24"/>
                <w:szCs w:val="24"/>
              </w:rPr>
              <w:t>吊装绳索具、钢丝绳缆、带的生产；索具机械、钢材、纺织品的销售</w:t>
            </w:r>
            <w:r>
              <w:rPr>
                <w:rFonts w:hint="eastAsia" w:ascii="宋体" w:hAnsi="宋体" w:cs="宋体"/>
                <w:b w:val="0"/>
                <w:sz w:val="24"/>
                <w:szCs w:val="24"/>
                <w:shd w:val="clear" w:color="auto" w:fill="FFFFFF"/>
              </w:rPr>
              <w:t>；有好的产品和专业的销售和技术团队，公司是丝网</w:t>
            </w:r>
            <w:r>
              <w:rPr>
                <w:rFonts w:hint="eastAsia" w:ascii="宋体" w:hAnsi="宋体" w:cs="宋体"/>
                <w:b w:val="0"/>
                <w:color w:val="333333"/>
                <w:sz w:val="24"/>
                <w:szCs w:val="24"/>
                <w:shd w:val="clear" w:color="auto" w:fill="FFFFFF"/>
              </w:rPr>
              <w:t>行业内知名企业。</w:t>
            </w:r>
          </w:p>
        </w:tc>
        <w:tc>
          <w:tcPr>
            <w:tcW w:w="783" w:type="dxa"/>
          </w:tcPr>
          <w:p>
            <w:pPr>
              <w:spacing w:before="120"/>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before="120"/>
              <w:rPr>
                <w:sz w:val="24"/>
                <w:szCs w:val="24"/>
              </w:rPr>
            </w:pPr>
            <w:r>
              <w:rPr>
                <w:rFonts w:hint="eastAsia"/>
                <w:sz w:val="24"/>
                <w:szCs w:val="24"/>
              </w:rPr>
              <w:t>理解相关方的需求和期望</w:t>
            </w:r>
          </w:p>
        </w:tc>
        <w:tc>
          <w:tcPr>
            <w:tcW w:w="1095" w:type="dxa"/>
          </w:tcPr>
          <w:p>
            <w:pPr>
              <w:spacing w:before="120"/>
            </w:pPr>
            <w:r>
              <w:rPr>
                <w:rFonts w:hint="eastAsia"/>
              </w:rPr>
              <w:t>EO:4.2</w:t>
            </w:r>
          </w:p>
          <w:p>
            <w:pPr>
              <w:pStyle w:val="2"/>
              <w:rPr>
                <w:sz w:val="24"/>
                <w:szCs w:val="24"/>
              </w:rPr>
            </w:pPr>
          </w:p>
        </w:tc>
        <w:tc>
          <w:tcPr>
            <w:tcW w:w="10671" w:type="dxa"/>
          </w:tcPr>
          <w:p>
            <w:pPr>
              <w:spacing w:line="360" w:lineRule="auto"/>
              <w:ind w:firstLine="240" w:firstLineChars="100"/>
              <w:rPr>
                <w:sz w:val="24"/>
                <w:szCs w:val="24"/>
              </w:rPr>
            </w:pPr>
            <w:r>
              <w:rPr>
                <w:rFonts w:hint="eastAsia"/>
                <w:sz w:val="24"/>
                <w:szCs w:val="24"/>
              </w:rPr>
              <w:t>客户：作为对公司发展有最直接影响的相关方，公司办公室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spacing w:line="360" w:lineRule="auto"/>
              <w:ind w:firstLine="240" w:firstLineChars="100"/>
              <w:rPr>
                <w:sz w:val="24"/>
                <w:szCs w:val="24"/>
              </w:rPr>
            </w:pPr>
            <w:r>
              <w:rPr>
                <w:rFonts w:hint="eastAsia"/>
                <w:sz w:val="24"/>
                <w:szCs w:val="24"/>
              </w:rPr>
              <w:t>供应商：作为产品辅助设施质量的源头，公司加大对由供应商提供的</w:t>
            </w:r>
            <w:bookmarkStart w:id="2" w:name="_GoBack"/>
            <w:bookmarkEnd w:id="2"/>
            <w:r>
              <w:rPr>
                <w:rFonts w:hint="eastAsia"/>
                <w:sz w:val="24"/>
                <w:szCs w:val="24"/>
              </w:rPr>
              <w:t>产品以及其他的外包过程产品进行质量控制，保证使用的产品质量过关；</w:t>
            </w:r>
          </w:p>
          <w:p>
            <w:pPr>
              <w:spacing w:line="360" w:lineRule="auto"/>
              <w:ind w:firstLine="240" w:firstLineChars="100"/>
              <w:rPr>
                <w:sz w:val="24"/>
                <w:szCs w:val="24"/>
              </w:rPr>
            </w:pPr>
            <w:r>
              <w:rPr>
                <w:rFonts w:hint="eastAsia"/>
                <w:sz w:val="24"/>
                <w:szCs w:val="24"/>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spacing w:line="360" w:lineRule="auto"/>
              <w:ind w:firstLine="240" w:firstLineChars="100"/>
              <w:rPr>
                <w:sz w:val="24"/>
                <w:szCs w:val="24"/>
              </w:rPr>
            </w:pPr>
            <w:r>
              <w:rPr>
                <w:rFonts w:hint="eastAsia"/>
                <w:sz w:val="24"/>
                <w:szCs w:val="24"/>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spacing w:line="360" w:lineRule="auto"/>
              <w:ind w:firstLine="240" w:firstLineChars="100"/>
              <w:rPr>
                <w:sz w:val="24"/>
                <w:szCs w:val="24"/>
              </w:rPr>
            </w:pPr>
            <w:r>
              <w:rPr>
                <w:rFonts w:hint="eastAsia"/>
                <w:sz w:val="24"/>
                <w:szCs w:val="24"/>
              </w:rPr>
              <w:t xml:space="preserve">a) 直接顾客； </w:t>
            </w:r>
          </w:p>
          <w:p>
            <w:pPr>
              <w:spacing w:line="360" w:lineRule="auto"/>
              <w:ind w:firstLine="240" w:firstLineChars="100"/>
              <w:rPr>
                <w:sz w:val="24"/>
                <w:szCs w:val="24"/>
              </w:rPr>
            </w:pPr>
            <w:r>
              <w:rPr>
                <w:rFonts w:hint="eastAsia"/>
                <w:sz w:val="24"/>
                <w:szCs w:val="24"/>
              </w:rPr>
              <w:t xml:space="preserve">b) 外部提供方； </w:t>
            </w:r>
          </w:p>
          <w:p>
            <w:pPr>
              <w:pStyle w:val="2"/>
              <w:rPr>
                <w:bCs w:val="0"/>
                <w:spacing w:val="0"/>
                <w:sz w:val="24"/>
                <w:szCs w:val="24"/>
              </w:rPr>
            </w:pPr>
            <w:r>
              <w:rPr>
                <w:rFonts w:hint="eastAsia"/>
                <w:bCs w:val="0"/>
                <w:spacing w:val="0"/>
                <w:sz w:val="24"/>
                <w:szCs w:val="24"/>
              </w:rPr>
              <w:t>具体见下表：</w:t>
            </w:r>
          </w:p>
          <w:tbl>
            <w:tblPr>
              <w:tblStyle w:val="7"/>
              <w:tblW w:w="0" w:type="auto"/>
              <w:jc w:val="center"/>
              <w:tblLayout w:type="fixed"/>
              <w:tblCellMar>
                <w:top w:w="15" w:type="dxa"/>
                <w:left w:w="15" w:type="dxa"/>
                <w:bottom w:w="15" w:type="dxa"/>
                <w:right w:w="15" w:type="dxa"/>
              </w:tblCellMar>
            </w:tblPr>
            <w:tblGrid>
              <w:gridCol w:w="1214"/>
              <w:gridCol w:w="2247"/>
              <w:gridCol w:w="4811"/>
              <w:gridCol w:w="2237"/>
              <w:gridCol w:w="1155"/>
              <w:gridCol w:w="1217"/>
            </w:tblGrid>
            <w:tr>
              <w:tblPrEx>
                <w:tblCellMar>
                  <w:top w:w="15" w:type="dxa"/>
                  <w:left w:w="15" w:type="dxa"/>
                  <w:bottom w:w="15" w:type="dxa"/>
                  <w:right w:w="15" w:type="dxa"/>
                </w:tblCellMar>
              </w:tblPrEx>
              <w:trPr>
                <w:trHeight w:val="675" w:hRule="atLeast"/>
                <w:jc w:val="center"/>
              </w:trPr>
              <w:tc>
                <w:tcPr>
                  <w:tcW w:w="12881" w:type="dxa"/>
                  <w:gridSpan w:val="6"/>
                  <w:vAlign w:val="center"/>
                </w:tcPr>
                <w:p>
                  <w:pPr>
                    <w:widowControl/>
                    <w:jc w:val="center"/>
                    <w:textAlignment w:val="center"/>
                    <w:rPr>
                      <w:b/>
                      <w:color w:val="000000"/>
                      <w:sz w:val="36"/>
                      <w:szCs w:val="36"/>
                    </w:rPr>
                  </w:pPr>
                  <w:r>
                    <w:rPr>
                      <w:rStyle w:val="21"/>
                    </w:rPr>
                    <w:t>ISO14001-201</w:t>
                  </w:r>
                  <w:r>
                    <w:rPr>
                      <w:rStyle w:val="21"/>
                      <w:rFonts w:hint="eastAsia"/>
                    </w:rPr>
                    <w:t>5</w:t>
                  </w:r>
                  <w:r>
                    <w:rPr>
                      <w:rStyle w:val="21"/>
                    </w:rPr>
                    <w:t xml:space="preserve"> </w:t>
                  </w:r>
                  <w:r>
                    <w:rPr>
                      <w:rStyle w:val="13"/>
                      <w:rFonts w:hint="default"/>
                    </w:rPr>
                    <w:t>相关方要求与期望清单</w:t>
                  </w:r>
                </w:p>
              </w:tc>
            </w:tr>
            <w:tr>
              <w:tblPrEx>
                <w:tblCellMar>
                  <w:top w:w="15" w:type="dxa"/>
                  <w:left w:w="15" w:type="dxa"/>
                  <w:bottom w:w="15" w:type="dxa"/>
                  <w:right w:w="15" w:type="dxa"/>
                </w:tblCellMar>
              </w:tblPrEx>
              <w:trPr>
                <w:trHeight w:val="46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cs="宋体"/>
                      <w:b/>
                      <w:color w:val="000000"/>
                      <w:sz w:val="22"/>
                      <w:szCs w:val="22"/>
                    </w:rPr>
                  </w:pPr>
                  <w:r>
                    <w:rPr>
                      <w:rStyle w:val="14"/>
                      <w:rFonts w:hint="default"/>
                    </w:rPr>
                    <w:t>内部</w:t>
                  </w:r>
                  <w:r>
                    <w:rPr>
                      <w:rStyle w:val="15"/>
                    </w:rPr>
                    <w:t>/</w:t>
                  </w:r>
                  <w:r>
                    <w:rPr>
                      <w:rStyle w:val="14"/>
                      <w:rFonts w:hint="default"/>
                    </w:rPr>
                    <w:t>外部</w:t>
                  </w:r>
                </w:p>
              </w:tc>
              <w:tc>
                <w:tcPr>
                  <w:tcW w:w="2247"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rPr>
                    <w:t>相关方</w:t>
                  </w:r>
                </w:p>
              </w:tc>
              <w:tc>
                <w:tcPr>
                  <w:tcW w:w="4811"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rPr>
                    <w:t>要求与期望</w:t>
                  </w:r>
                </w:p>
              </w:tc>
              <w:tc>
                <w:tcPr>
                  <w:tcW w:w="2237"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rPr>
                    <w:t>监测指标或项目</w:t>
                  </w:r>
                </w:p>
              </w:tc>
              <w:tc>
                <w:tcPr>
                  <w:tcW w:w="1155"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rPr>
                    <w:t>监测频率</w:t>
                  </w:r>
                </w:p>
              </w:tc>
              <w:tc>
                <w:tcPr>
                  <w:tcW w:w="1217" w:type="dxa"/>
                  <w:tcBorders>
                    <w:top w:val="single" w:color="000000" w:sz="4" w:space="0"/>
                    <w:left w:val="single" w:color="000000" w:sz="4" w:space="0"/>
                    <w:bottom w:val="single" w:color="000000" w:sz="4" w:space="0"/>
                    <w:right w:val="single" w:color="000000" w:sz="4" w:space="0"/>
                  </w:tcBorders>
                  <w:shd w:val="clear" w:color="auto" w:fill="CCFFCC"/>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rPr>
                    <w:t>监测部门</w:t>
                  </w:r>
                </w:p>
              </w:tc>
            </w:tr>
            <w:tr>
              <w:tblPrEx>
                <w:tblCellMar>
                  <w:top w:w="15" w:type="dxa"/>
                  <w:left w:w="15" w:type="dxa"/>
                  <w:bottom w:w="15" w:type="dxa"/>
                  <w:right w:w="15" w:type="dxa"/>
                </w:tblCellMar>
              </w:tblPrEx>
              <w:trPr>
                <w:trHeight w:val="285"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外部</w:t>
                  </w:r>
                </w:p>
              </w:tc>
              <w:tc>
                <w:tcPr>
                  <w:tcW w:w="2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环保局</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符合环境法律法规</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合规性评价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实时</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5"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水务局</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节约用水，合规排水</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新员工入职培训</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实时</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供电所</w:t>
                  </w:r>
                </w:p>
              </w:tc>
              <w:tc>
                <w:tcPr>
                  <w:tcW w:w="4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节约用电</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对用电情况进行统计分析</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每月/1次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4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新员工入职培训</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实时</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QSM</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业务往来单位</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配合处理环保相关事宜，保持清洁</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5S</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实时</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所有部门</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供应商</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Style w:val="16"/>
                      <w:rFonts w:hint="default"/>
                    </w:rPr>
                    <w:t>取得</w:t>
                  </w:r>
                  <w:r>
                    <w:rPr>
                      <w:rStyle w:val="17"/>
                    </w:rPr>
                    <w:t>ISO14001</w:t>
                  </w:r>
                  <w:r>
                    <w:rPr>
                      <w:rStyle w:val="16"/>
                      <w:rFonts w:hint="default"/>
                    </w:rPr>
                    <w:t>体系认证，满足本公司环境体系相关要求</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外审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每年/1次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供销部</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第三方认证服务机构</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Style w:val="16"/>
                      <w:rFonts w:hint="default"/>
                    </w:rPr>
                    <w:t>满足</w:t>
                  </w:r>
                  <w:r>
                    <w:rPr>
                      <w:rStyle w:val="17"/>
                    </w:rPr>
                    <w:t>ISO14001</w:t>
                  </w:r>
                  <w:r>
                    <w:rPr>
                      <w:rStyle w:val="16"/>
                      <w:rFonts w:hint="default"/>
                    </w:rPr>
                    <w:t>体系要求，持续改进环境管理体系</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内审、外审、管理评审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每年/1次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固体废弃物转移处理方</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配合转移、处理</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固体废弃物转移记录</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实时</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生产技术部</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饮用水配送</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满足本公司环境体系相关要求</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采购合同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每年/1次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4"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外来施工单位、个人</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噪音、废气满足本公司环境管理体系要求</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施工合同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实时</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5"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Style w:val="16"/>
                      <w:rFonts w:hint="default"/>
                    </w:rPr>
                    <w:t>内部</w:t>
                  </w:r>
                </w:p>
              </w:tc>
              <w:tc>
                <w:tcPr>
                  <w:tcW w:w="22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最高管理者</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合法</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合规性评价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实时</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5"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客户满意</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顾客满意度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Style w:val="16"/>
                      <w:rFonts w:hint="default"/>
                    </w:rPr>
                    <w:t>每年</w:t>
                  </w:r>
                  <w:r>
                    <w:rPr>
                      <w:rStyle w:val="17"/>
                    </w:rPr>
                    <w:t>/2</w:t>
                  </w:r>
                  <w:r>
                    <w:rPr>
                      <w:rStyle w:val="16"/>
                      <w:rFonts w:hint="default"/>
                    </w:rPr>
                    <w:t>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供销部</w:t>
                  </w:r>
                </w:p>
              </w:tc>
            </w:tr>
            <w:tr>
              <w:tblPrEx>
                <w:tblCellMar>
                  <w:top w:w="15" w:type="dxa"/>
                  <w:left w:w="15" w:type="dxa"/>
                  <w:bottom w:w="15" w:type="dxa"/>
                  <w:right w:w="15" w:type="dxa"/>
                </w:tblCellMar>
              </w:tblPrEx>
              <w:trPr>
                <w:trHeight w:val="375"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成本低</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rStyle w:val="17"/>
                    </w:rPr>
                    <w:t>PB2</w:t>
                  </w:r>
                  <w:r>
                    <w:rPr>
                      <w:rStyle w:val="16"/>
                      <w:rFonts w:hint="default"/>
                    </w:rPr>
                    <w:t>值</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Style w:val="16"/>
                      <w:rFonts w:hint="default"/>
                    </w:rPr>
                    <w:t>每月</w:t>
                  </w:r>
                  <w:r>
                    <w:rPr>
                      <w:rStyle w:val="17"/>
                    </w:rPr>
                    <w:t>/1</w:t>
                  </w:r>
                  <w:r>
                    <w:rPr>
                      <w:rStyle w:val="16"/>
                      <w:rFonts w:hint="default"/>
                    </w:rPr>
                    <w:t>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5"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员工</w:t>
                  </w: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厂区清洁卫生</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rStyle w:val="17"/>
                    </w:rPr>
                    <w:t>5S</w:t>
                  </w:r>
                  <w:r>
                    <w:rPr>
                      <w:rStyle w:val="16"/>
                      <w:rFonts w:hint="default"/>
                    </w:rPr>
                    <w:t>检查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Style w:val="16"/>
                      <w:rFonts w:hint="default"/>
                    </w:rPr>
                    <w:t>每月</w:t>
                  </w:r>
                  <w:r>
                    <w:rPr>
                      <w:rStyle w:val="17"/>
                    </w:rPr>
                    <w:t>/1</w:t>
                  </w:r>
                  <w:r>
                    <w:rPr>
                      <w:rStyle w:val="16"/>
                      <w:rFonts w:hint="default"/>
                    </w:rPr>
                    <w:t>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375"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2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4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无粉尘，无污染，噪音小，温湿度事宜</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员工满意度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Style w:val="16"/>
                      <w:rFonts w:hint="default"/>
                    </w:rPr>
                    <w:t>每年</w:t>
                  </w:r>
                  <w:r>
                    <w:rPr>
                      <w:rStyle w:val="17"/>
                    </w:rPr>
                    <w:t>/2</w:t>
                  </w:r>
                  <w:r>
                    <w:rPr>
                      <w:rStyle w:val="16"/>
                      <w:rFonts w:hint="default"/>
                    </w:rPr>
                    <w:t>次</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办公室</w:t>
                  </w:r>
                </w:p>
              </w:tc>
            </w:tr>
            <w:tr>
              <w:tblPrEx>
                <w:tblCellMar>
                  <w:top w:w="15" w:type="dxa"/>
                  <w:left w:w="15" w:type="dxa"/>
                  <w:bottom w:w="15" w:type="dxa"/>
                  <w:right w:w="15" w:type="dxa"/>
                </w:tblCellMar>
              </w:tblPrEx>
              <w:trPr>
                <w:trHeight w:val="286" w:hRule="atLeast"/>
                <w:jc w:val="center"/>
              </w:trPr>
              <w:tc>
                <w:tcPr>
                  <w:tcW w:w="1214" w:type="dxa"/>
                  <w:vAlign w:val="center"/>
                </w:tcPr>
                <w:p>
                  <w:pPr>
                    <w:rPr>
                      <w:rFonts w:hint="eastAsia" w:ascii="宋体" w:hAnsi="宋体" w:cs="宋体"/>
                      <w:color w:val="000000"/>
                      <w:sz w:val="22"/>
                      <w:szCs w:val="22"/>
                    </w:rPr>
                  </w:pPr>
                </w:p>
              </w:tc>
              <w:tc>
                <w:tcPr>
                  <w:tcW w:w="2247" w:type="dxa"/>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编制人：王顺</w:t>
                  </w:r>
                </w:p>
              </w:tc>
              <w:tc>
                <w:tcPr>
                  <w:tcW w:w="4811" w:type="dxa"/>
                  <w:vAlign w:val="center"/>
                </w:tcPr>
                <w:p>
                  <w:pPr>
                    <w:jc w:val="center"/>
                    <w:rPr>
                      <w:rFonts w:hint="eastAsia" w:ascii="宋体" w:hAnsi="宋体" w:cs="宋体"/>
                      <w:color w:val="000000"/>
                      <w:sz w:val="22"/>
                      <w:szCs w:val="22"/>
                    </w:rPr>
                  </w:pPr>
                </w:p>
              </w:tc>
              <w:tc>
                <w:tcPr>
                  <w:tcW w:w="2237" w:type="dxa"/>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确认人：陈喜</w:t>
                  </w:r>
                </w:p>
              </w:tc>
              <w:tc>
                <w:tcPr>
                  <w:tcW w:w="1155" w:type="dxa"/>
                  <w:vAlign w:val="center"/>
                </w:tcPr>
                <w:p>
                  <w:pPr>
                    <w:rPr>
                      <w:rFonts w:hint="eastAsia" w:ascii="宋体" w:hAnsi="宋体" w:cs="宋体"/>
                      <w:color w:val="000000"/>
                      <w:sz w:val="22"/>
                      <w:szCs w:val="22"/>
                    </w:rPr>
                  </w:pPr>
                </w:p>
              </w:tc>
              <w:tc>
                <w:tcPr>
                  <w:tcW w:w="1217" w:type="dxa"/>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316" w:hRule="atLeast"/>
                <w:jc w:val="center"/>
              </w:trPr>
              <w:tc>
                <w:tcPr>
                  <w:tcW w:w="1214" w:type="dxa"/>
                  <w:vAlign w:val="center"/>
                </w:tcPr>
                <w:p>
                  <w:pPr>
                    <w:rPr>
                      <w:rFonts w:hint="eastAsia" w:ascii="宋体" w:hAnsi="宋体" w:cs="宋体"/>
                      <w:color w:val="000000"/>
                      <w:sz w:val="22"/>
                      <w:szCs w:val="22"/>
                    </w:rPr>
                  </w:pPr>
                </w:p>
              </w:tc>
              <w:tc>
                <w:tcPr>
                  <w:tcW w:w="2247" w:type="dxa"/>
                  <w:vAlign w:val="center"/>
                </w:tcPr>
                <w:p>
                  <w:pPr>
                    <w:widowControl/>
                    <w:jc w:val="center"/>
                    <w:textAlignment w:val="center"/>
                    <w:rPr>
                      <w:rFonts w:hint="eastAsia" w:ascii="宋体" w:hAnsi="宋体" w:cs="宋体"/>
                      <w:color w:val="000000"/>
                      <w:sz w:val="22"/>
                      <w:szCs w:val="22"/>
                    </w:rPr>
                  </w:pPr>
                  <w:r>
                    <w:rPr>
                      <w:rStyle w:val="18"/>
                      <w:rFonts w:hint="default"/>
                    </w:rPr>
                    <w:t>日期：</w:t>
                  </w:r>
                  <w:r>
                    <w:rPr>
                      <w:rStyle w:val="19"/>
                    </w:rPr>
                    <w:t>20</w:t>
                  </w:r>
                  <w:r>
                    <w:rPr>
                      <w:rStyle w:val="19"/>
                      <w:rFonts w:hint="eastAsia"/>
                    </w:rPr>
                    <w:t>20</w:t>
                  </w:r>
                  <w:r>
                    <w:rPr>
                      <w:rStyle w:val="19"/>
                    </w:rPr>
                    <w:t>/</w:t>
                  </w:r>
                  <w:r>
                    <w:rPr>
                      <w:rStyle w:val="19"/>
                      <w:rFonts w:hint="eastAsia"/>
                    </w:rPr>
                    <w:t>1</w:t>
                  </w:r>
                  <w:r>
                    <w:rPr>
                      <w:rStyle w:val="19"/>
                    </w:rPr>
                    <w:t>/</w:t>
                  </w:r>
                  <w:r>
                    <w:rPr>
                      <w:rStyle w:val="19"/>
                      <w:rFonts w:hint="eastAsia"/>
                    </w:rPr>
                    <w:t>02</w:t>
                  </w:r>
                </w:p>
              </w:tc>
              <w:tc>
                <w:tcPr>
                  <w:tcW w:w="4811" w:type="dxa"/>
                  <w:vAlign w:val="center"/>
                </w:tcPr>
                <w:p>
                  <w:pPr>
                    <w:jc w:val="center"/>
                    <w:rPr>
                      <w:rFonts w:hint="eastAsia" w:ascii="宋体" w:hAnsi="宋体" w:cs="宋体"/>
                      <w:color w:val="000000"/>
                      <w:sz w:val="22"/>
                      <w:szCs w:val="22"/>
                    </w:rPr>
                  </w:pPr>
                </w:p>
              </w:tc>
              <w:tc>
                <w:tcPr>
                  <w:tcW w:w="2237" w:type="dxa"/>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日期：</w:t>
                  </w:r>
                  <w:r>
                    <w:rPr>
                      <w:rStyle w:val="19"/>
                    </w:rPr>
                    <w:t>20</w:t>
                  </w:r>
                  <w:r>
                    <w:rPr>
                      <w:rStyle w:val="19"/>
                      <w:rFonts w:hint="eastAsia"/>
                    </w:rPr>
                    <w:t>20</w:t>
                  </w:r>
                  <w:r>
                    <w:rPr>
                      <w:rStyle w:val="19"/>
                    </w:rPr>
                    <w:t>/</w:t>
                  </w:r>
                  <w:r>
                    <w:rPr>
                      <w:rStyle w:val="19"/>
                      <w:rFonts w:hint="eastAsia"/>
                    </w:rPr>
                    <w:t>1</w:t>
                  </w:r>
                  <w:r>
                    <w:rPr>
                      <w:rStyle w:val="19"/>
                    </w:rPr>
                    <w:t>/</w:t>
                  </w:r>
                  <w:r>
                    <w:rPr>
                      <w:rStyle w:val="19"/>
                      <w:rFonts w:hint="eastAsia"/>
                    </w:rPr>
                    <w:t>02</w:t>
                  </w:r>
                </w:p>
              </w:tc>
              <w:tc>
                <w:tcPr>
                  <w:tcW w:w="1155" w:type="dxa"/>
                  <w:vAlign w:val="center"/>
                </w:tcPr>
                <w:p>
                  <w:pPr>
                    <w:rPr>
                      <w:rFonts w:hint="eastAsia" w:ascii="宋体" w:hAnsi="宋体" w:cs="宋体"/>
                      <w:color w:val="000000"/>
                      <w:sz w:val="22"/>
                      <w:szCs w:val="22"/>
                    </w:rPr>
                  </w:pPr>
                </w:p>
              </w:tc>
              <w:tc>
                <w:tcPr>
                  <w:tcW w:w="1217" w:type="dxa"/>
                  <w:vAlign w:val="center"/>
                </w:tcPr>
                <w:p>
                  <w:pPr>
                    <w:rPr>
                      <w:rFonts w:hint="eastAsia" w:ascii="宋体" w:hAnsi="宋体" w:cs="宋体"/>
                      <w:color w:val="000000"/>
                      <w:sz w:val="22"/>
                      <w:szCs w:val="22"/>
                    </w:rPr>
                  </w:pPr>
                </w:p>
              </w:tc>
            </w:tr>
          </w:tbl>
          <w:p>
            <w:pPr>
              <w:pStyle w:val="2"/>
              <w:rPr>
                <w:rFonts w:asciiTheme="majorEastAsia" w:hAnsiTheme="majorEastAsia" w:eastAsiaTheme="majorEastAsia"/>
                <w:color w:val="FF0000"/>
                <w:sz w:val="24"/>
                <w:szCs w:val="24"/>
              </w:rPr>
            </w:pP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确定管理体系的范围</w:t>
            </w:r>
          </w:p>
        </w:tc>
        <w:tc>
          <w:tcPr>
            <w:tcW w:w="1095" w:type="dxa"/>
          </w:tcPr>
          <w:p>
            <w:pPr>
              <w:spacing w:before="120"/>
              <w:rPr>
                <w:sz w:val="24"/>
                <w:szCs w:val="24"/>
              </w:rPr>
            </w:pPr>
            <w:r>
              <w:rPr>
                <w:rFonts w:hint="eastAsia"/>
                <w:sz w:val="24"/>
                <w:szCs w:val="24"/>
              </w:rPr>
              <w:t>EO:4.3</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公司认证的范围是</w:t>
            </w:r>
          </w:p>
          <w:p>
            <w:pPr>
              <w:rPr>
                <w:szCs w:val="21"/>
              </w:rPr>
            </w:pPr>
            <w:bookmarkStart w:id="0" w:name="审核范围"/>
            <w:r>
              <w:rPr>
                <w:szCs w:val="21"/>
              </w:rPr>
              <w:t>E：吊装绳索具、钢丝绳缆、带的生产；索具机械、钢材、纺织品的销售所涉及的相关环境管理活动</w:t>
            </w:r>
          </w:p>
          <w:p>
            <w:pPr>
              <w:spacing w:line="360" w:lineRule="auto"/>
              <w:rPr>
                <w:rFonts w:ascii="华文中宋" w:hAnsi="华文中宋" w:eastAsia="华文中宋"/>
                <w:color w:val="000000"/>
                <w:sz w:val="24"/>
                <w:szCs w:val="24"/>
              </w:rPr>
            </w:pPr>
            <w:r>
              <w:rPr>
                <w:szCs w:val="21"/>
              </w:rPr>
              <w:t>O：吊装绳索具、钢丝绳缆、带的生产；索具机械、钢材、纺织品的销售所涉及的相关职业健康安全管理活动</w:t>
            </w:r>
            <w:bookmarkEnd w:id="0"/>
          </w:p>
        </w:tc>
        <w:tc>
          <w:tcPr>
            <w:tcW w:w="783" w:type="dxa"/>
          </w:tcPr>
          <w:p>
            <w:pPr>
              <w:spacing w:before="120"/>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管理体系及其过程</w:t>
            </w:r>
          </w:p>
        </w:tc>
        <w:tc>
          <w:tcPr>
            <w:tcW w:w="1095" w:type="dxa"/>
          </w:tcPr>
          <w:p>
            <w:pPr>
              <w:spacing w:before="120"/>
              <w:rPr>
                <w:sz w:val="24"/>
                <w:szCs w:val="24"/>
              </w:rPr>
            </w:pPr>
            <w:r>
              <w:rPr>
                <w:rFonts w:hint="eastAsia"/>
                <w:sz w:val="24"/>
                <w:szCs w:val="24"/>
              </w:rPr>
              <w:t>EO:4.4</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本公司按照 ISO9001:2015《质量管理体系要求》、 ISO14001:2015《环境管理体系要求及使用指南》和GB/T45001-2020idtISO45001:2018《职业健康安全管理体系要求及使用指南》标准的要求，</w:t>
            </w:r>
            <w:r>
              <w:rPr>
                <w:rFonts w:hint="eastAsia" w:ascii="华文中宋" w:hAnsi="华文中宋" w:eastAsia="华文中宋"/>
                <w:color w:val="000000"/>
                <w:sz w:val="24"/>
                <w:szCs w:val="24"/>
              </w:rPr>
              <w:t>建立了</w:t>
            </w:r>
            <w:r>
              <w:rPr>
                <w:rFonts w:hint="eastAsia" w:ascii="华文中宋" w:hAnsi="华文中宋" w:eastAsia="华文中宋"/>
                <w:color w:val="000000"/>
                <w:sz w:val="24"/>
                <w:szCs w:val="24"/>
                <w:lang w:val="zh-CN"/>
              </w:rPr>
              <w:t>质量/环境/职业健康安全管理体系,</w:t>
            </w:r>
            <w:r>
              <w:rPr>
                <w:rFonts w:hint="eastAsia" w:ascii="华文中宋" w:hAnsi="华文中宋" w:eastAsia="华文中宋"/>
                <w:color w:val="000000"/>
                <w:sz w:val="24"/>
                <w:szCs w:val="24"/>
              </w:rPr>
              <w:t>过程及其相互作用，并形成文件，本公司全体员工将有效地贯彻执行并持续改进其有效性。</w:t>
            </w:r>
          </w:p>
          <w:p>
            <w:pPr>
              <w:spacing w:line="360" w:lineRule="auto"/>
              <w:ind w:firstLine="240" w:firstLineChars="100"/>
              <w:jc w:val="left"/>
              <w:rPr>
                <w:rFonts w:hint="eastAsia" w:ascii="华文中宋" w:hAnsi="华文中宋" w:eastAsia="华文中宋"/>
                <w:color w:val="000000"/>
                <w:sz w:val="24"/>
                <w:szCs w:val="24"/>
                <w:lang w:val="zh-CN"/>
              </w:rPr>
            </w:pPr>
            <w:r>
              <w:rPr>
                <w:rFonts w:hint="eastAsia" w:ascii="华文中宋" w:hAnsi="华文中宋" w:eastAsia="华文中宋"/>
                <w:color w:val="000000"/>
                <w:sz w:val="24"/>
                <w:szCs w:val="24"/>
              </w:rPr>
              <w:t>公司与2019年下半年对质量/环境/职业健康安全管理体系进行策划，识别了各个过程、环境因素、危险源等，编制了管理手册、程序文件、支持性文件及记录，于</w:t>
            </w:r>
            <w:r>
              <w:rPr>
                <w:rFonts w:hint="eastAsia" w:ascii="华文中宋" w:hAnsi="华文中宋" w:eastAsia="华文中宋"/>
                <w:color w:val="000000"/>
                <w:sz w:val="24"/>
                <w:szCs w:val="24"/>
                <w:lang w:val="zh-CN"/>
              </w:rPr>
              <w:t xml:space="preserve">2020.1.1发布、2020.1.1实施。                          </w:t>
            </w:r>
          </w:p>
          <w:p>
            <w:pPr>
              <w:spacing w:line="360" w:lineRule="auto"/>
              <w:ind w:firstLine="240" w:firstLineChars="100"/>
              <w:jc w:val="left"/>
              <w:rPr>
                <w:rFonts w:ascii="华文中宋" w:hAnsi="华文中宋" w:eastAsia="华文中宋"/>
                <w:color w:val="000000"/>
                <w:sz w:val="24"/>
                <w:szCs w:val="24"/>
              </w:rPr>
            </w:pPr>
            <w:r>
              <w:rPr>
                <w:rFonts w:hint="eastAsia" w:ascii="华文中宋" w:hAnsi="华文中宋" w:eastAsia="华文中宋"/>
                <w:color w:val="000000"/>
                <w:sz w:val="24"/>
                <w:szCs w:val="24"/>
              </w:rPr>
              <w:t>经过半年多的运行，管理体系运行正常。</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领导作用和承诺</w:t>
            </w:r>
          </w:p>
        </w:tc>
        <w:tc>
          <w:tcPr>
            <w:tcW w:w="1095" w:type="dxa"/>
          </w:tcPr>
          <w:p>
            <w:pPr>
              <w:spacing w:before="120"/>
              <w:rPr>
                <w:sz w:val="24"/>
                <w:szCs w:val="24"/>
              </w:rPr>
            </w:pPr>
            <w:r>
              <w:rPr>
                <w:rFonts w:hint="eastAsia"/>
                <w:sz w:val="24"/>
                <w:szCs w:val="24"/>
              </w:rPr>
              <w:t>EO:5.1</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公司最高管理者通过以下活动证实其对质量环境职业健康安全管理体系的领导作用和承诺：</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1、对质量环境职业健康安全管理体系的有效性承担责任；</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2、确保制定质量环境职业健康安全管理体系的质量、环境、职业健康安全方针和质量、环境、职业健康安全方针目标,并与公司环境和战略方向相一致；</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3、确保质量环境职业健康安全管理体系要求融入与公司的业务过程；</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4、促进使用过程方法和基于风险的思维；</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5、确保获得质量环境职业健康安全管理体系所需的资源；</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6、沟通有效的质量环境职业健康安全管理和符合质量环境职业健康安全管理体系要求的重要性；</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7、确保实现质量环境职业健康安全管理体系的预期结果；</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8、促使、指导和支持员工努力提高质量环境职业健康安全管理体系的有效性；</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9、推动改进；</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 xml:space="preserve"> 10、支持其他管理者履行其相关领域的职责。</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公司最高管理者通过确定、理解并持续满足顾客要求以及适用的法律法规要求；确定和应对能够影响服务符合性以及增强顾客满意能力的风险和机遇；</w:t>
            </w:r>
            <w:r>
              <w:rPr>
                <w:rFonts w:hint="eastAsia" w:ascii="华文中宋" w:hAnsi="华文中宋" w:eastAsia="华文中宋"/>
                <w:color w:val="000000"/>
                <w:sz w:val="24"/>
                <w:szCs w:val="24"/>
              </w:rPr>
              <w:br w:type="textWrapping"/>
            </w:r>
            <w:r>
              <w:rPr>
                <w:rFonts w:hint="eastAsia" w:ascii="华文中宋" w:hAnsi="华文中宋" w:eastAsia="华文中宋"/>
                <w:color w:val="000000"/>
                <w:sz w:val="24"/>
                <w:szCs w:val="24"/>
              </w:rPr>
              <w:t>始终致力于增强顾客满意。</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公司最高管理者组织相关部门制订发展规划、管理承诺、管理方针及管理目标，积极开展精神文明创建和争优创先活动，提高员工队伍整体素质。</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before="120"/>
              <w:rPr>
                <w:sz w:val="24"/>
                <w:szCs w:val="24"/>
              </w:rPr>
            </w:pPr>
            <w:r>
              <w:rPr>
                <w:rFonts w:hint="eastAsia"/>
                <w:sz w:val="24"/>
                <w:szCs w:val="24"/>
              </w:rPr>
              <w:t>管理方针</w:t>
            </w:r>
          </w:p>
        </w:tc>
        <w:tc>
          <w:tcPr>
            <w:tcW w:w="1095" w:type="dxa"/>
          </w:tcPr>
          <w:p>
            <w:pPr>
              <w:spacing w:before="120"/>
            </w:pPr>
            <w:r>
              <w:rPr>
                <w:rFonts w:hint="eastAsia"/>
              </w:rPr>
              <w:t>EO:5.2</w:t>
            </w:r>
          </w:p>
          <w:p>
            <w:pPr>
              <w:pStyle w:val="2"/>
            </w:pPr>
          </w:p>
        </w:tc>
        <w:tc>
          <w:tcPr>
            <w:tcW w:w="10671" w:type="dxa"/>
          </w:tcPr>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公司的</w:t>
            </w:r>
            <w:r>
              <w:rPr>
                <w:rFonts w:hint="eastAsia" w:ascii="华文中宋" w:hAnsi="华文中宋" w:eastAsia="华文中宋"/>
                <w:color w:val="000000"/>
                <w:sz w:val="24"/>
                <w:szCs w:val="24"/>
              </w:rPr>
              <w:t>质量/</w:t>
            </w:r>
            <w:r>
              <w:rPr>
                <w:rFonts w:hint="eastAsia" w:ascii="华文中宋" w:hAnsi="华文中宋" w:eastAsia="华文中宋"/>
                <w:color w:val="000000"/>
                <w:sz w:val="24"/>
                <w:szCs w:val="24"/>
                <w:lang w:val="zh-CN"/>
              </w:rPr>
              <w:t>环境/职业健康安全方针是：（</w:t>
            </w:r>
            <w:r>
              <w:rPr>
                <w:rFonts w:hint="eastAsia" w:ascii="华文中宋" w:hAnsi="华文中宋" w:eastAsia="华文中宋"/>
                <w:color w:val="000000"/>
                <w:sz w:val="24"/>
                <w:szCs w:val="24"/>
              </w:rPr>
              <w:t>备注：公司是三体系手册，方针是三体系一体的</w:t>
            </w:r>
            <w:r>
              <w:rPr>
                <w:rFonts w:hint="eastAsia" w:ascii="华文中宋" w:hAnsi="华文中宋" w:eastAsia="华文中宋"/>
                <w:color w:val="000000"/>
                <w:sz w:val="24"/>
                <w:szCs w:val="24"/>
                <w:lang w:val="zh-CN"/>
              </w:rPr>
              <w:t>）</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创新求精，不断提升产品与服务质量，促进快速发展</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节能降耗，注重环境保护与污染预防，促进协调发展</w:t>
            </w:r>
          </w:p>
          <w:p>
            <w:pPr>
              <w:autoSpaceDE w:val="0"/>
              <w:autoSpaceDN w:val="0"/>
              <w:adjustRightInd w:val="0"/>
              <w:spacing w:line="360" w:lineRule="auto"/>
              <w:ind w:firstLine="734" w:firstLineChars="306"/>
              <w:jc w:val="left"/>
              <w:rPr>
                <w:rFonts w:ascii="宋体" w:hAnsi="宋体" w:cs="黑体"/>
                <w:bCs/>
                <w:kern w:val="0"/>
                <w:sz w:val="24"/>
              </w:rPr>
            </w:pPr>
            <w:r>
              <w:rPr>
                <w:rFonts w:hint="eastAsia" w:ascii="宋体" w:hAnsi="宋体" w:cs="黑体"/>
                <w:bCs/>
                <w:kern w:val="0"/>
                <w:sz w:val="24"/>
              </w:rPr>
              <w:t>以人为本，确保职业健康与劳动安全，促进和谐发展</w:t>
            </w:r>
          </w:p>
          <w:p>
            <w:pPr>
              <w:spacing w:line="400" w:lineRule="exact"/>
              <w:ind w:firstLine="720" w:firstLineChars="300"/>
              <w:rPr>
                <w:rFonts w:hint="eastAsia"/>
                <w:bCs/>
                <w:sz w:val="24"/>
              </w:rPr>
            </w:pPr>
            <w:r>
              <w:rPr>
                <w:rFonts w:hint="eastAsia" w:ascii="宋体" w:hAnsi="宋体" w:cs="黑体"/>
                <w:bCs/>
                <w:kern w:val="0"/>
                <w:sz w:val="24"/>
              </w:rPr>
              <w:t>守法诚信，坚持预防为主与持续改进，追求卓越绩效</w:t>
            </w:r>
          </w:p>
          <w:p>
            <w:pPr>
              <w:spacing w:line="360" w:lineRule="auto"/>
              <w:ind w:firstLine="240" w:firstLineChars="100"/>
              <w:rPr>
                <w:rFonts w:ascii="华文中宋" w:hAnsi="华文中宋" w:eastAsia="华文中宋"/>
                <w:color w:val="000000"/>
                <w:sz w:val="24"/>
                <w:szCs w:val="24"/>
              </w:rPr>
            </w:pPr>
          </w:p>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公司的质量/环境/职业健康安全方针已经形成文件并获得保持。总经理作为公司的最高管理者</w:t>
            </w:r>
            <w:r>
              <w:rPr>
                <w:rFonts w:hint="eastAsia" w:ascii="华文中宋" w:hAnsi="华文中宋" w:eastAsia="华文中宋"/>
                <w:color w:val="000000"/>
                <w:sz w:val="24"/>
                <w:szCs w:val="24"/>
              </w:rPr>
              <w:t>进行制定和批准</w:t>
            </w:r>
            <w:r>
              <w:rPr>
                <w:rFonts w:hint="eastAsia" w:ascii="华文中宋" w:hAnsi="华文中宋" w:eastAsia="华文中宋"/>
                <w:color w:val="000000"/>
                <w:sz w:val="24"/>
                <w:szCs w:val="24"/>
                <w:lang w:val="zh-CN"/>
              </w:rPr>
              <w:t>，通过培训、教育或会议等方式在公司内部沟通、推广质量/环境/职业健康安全方针，使公司各级人员理解质量/环境/职业健康安全方针并应用。适宜时，可作为宣传向有关相关方提供。</w:t>
            </w:r>
          </w:p>
        </w:tc>
        <w:tc>
          <w:tcPr>
            <w:tcW w:w="783" w:type="dxa"/>
          </w:tcPr>
          <w:p>
            <w:pPr>
              <w:spacing w:before="120"/>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组织的岗位、职责和权限</w:t>
            </w:r>
          </w:p>
        </w:tc>
        <w:tc>
          <w:tcPr>
            <w:tcW w:w="1095" w:type="dxa"/>
          </w:tcPr>
          <w:p>
            <w:pPr>
              <w:spacing w:before="120"/>
              <w:rPr>
                <w:sz w:val="24"/>
                <w:szCs w:val="24"/>
              </w:rPr>
            </w:pPr>
            <w:r>
              <w:rPr>
                <w:rFonts w:hint="eastAsia"/>
                <w:sz w:val="24"/>
                <w:szCs w:val="24"/>
              </w:rPr>
              <w:t>EO:5.3</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为了有效的实施质量、环境、职业健康安全管理，本公司确定了公司结构：</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——公司总经理、体系负责人为公司的管理层。</w:t>
            </w:r>
          </w:p>
          <w:p>
            <w:pPr>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——公司设置管理部门如下：</w:t>
            </w:r>
            <w:r>
              <w:rPr>
                <w:rFonts w:hint="eastAsia"/>
                <w:sz w:val="28"/>
                <w:szCs w:val="28"/>
              </w:rPr>
              <w:t>办公室（含财务）、供销部</w:t>
            </w:r>
            <w:r>
              <w:rPr>
                <w:rFonts w:hint="eastAsia" w:ascii="华文中宋" w:hAnsi="华文中宋" w:eastAsia="华文中宋"/>
                <w:color w:val="000000"/>
                <w:sz w:val="24"/>
                <w:szCs w:val="24"/>
              </w:rPr>
              <w:t>、</w:t>
            </w:r>
            <w:r>
              <w:rPr>
                <w:rFonts w:hint="eastAsia"/>
                <w:sz w:val="28"/>
                <w:szCs w:val="28"/>
              </w:rPr>
              <w:t>生产技术部</w:t>
            </w:r>
            <w:r>
              <w:rPr>
                <w:rFonts w:hint="eastAsia" w:ascii="华文中宋" w:hAnsi="华文中宋" w:eastAsia="华文中宋"/>
                <w:color w:val="000000"/>
                <w:sz w:val="24"/>
                <w:szCs w:val="24"/>
              </w:rPr>
              <w:t>。</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公司规定了各级各岗位人员职责、权限和相互关系，并在公司内对各级员工进行了必要的传达；公司规定了各岗位职责及权限，对本公司各主要岗位职责权限进行了确定。以：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a) 确保质量、环境、职业健康安全管理体系符合本标准的要求；</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b) 确保各过程获得其预期输出；</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c) 报告质量、环境、职业健康安全管理体系绩效及其改进机遇，特别向总经理报告；</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d) 确保在整个公司推动以顾客为关注焦点；</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e) 确保在策划和实施质量、环境、职业健康安全管理体系变更时，保持其完整性。</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岗位职责及权限见管理手册。</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应对风险和机遇的措施</w:t>
            </w:r>
          </w:p>
          <w:p>
            <w:pPr>
              <w:spacing w:before="120"/>
              <w:rPr>
                <w:sz w:val="24"/>
                <w:szCs w:val="24"/>
              </w:rPr>
            </w:pPr>
          </w:p>
          <w:p>
            <w:pPr>
              <w:spacing w:before="120"/>
              <w:rPr>
                <w:sz w:val="24"/>
                <w:szCs w:val="24"/>
              </w:rPr>
            </w:pPr>
            <w:r>
              <w:rPr>
                <w:rFonts w:hint="eastAsia"/>
                <w:sz w:val="24"/>
                <w:szCs w:val="24"/>
              </w:rPr>
              <w:t>策划措施</w:t>
            </w:r>
          </w:p>
        </w:tc>
        <w:tc>
          <w:tcPr>
            <w:tcW w:w="1095" w:type="dxa"/>
          </w:tcPr>
          <w:p>
            <w:pPr>
              <w:spacing w:before="120"/>
              <w:rPr>
                <w:sz w:val="24"/>
                <w:szCs w:val="24"/>
              </w:rPr>
            </w:pPr>
            <w:r>
              <w:rPr>
                <w:rFonts w:hint="eastAsia"/>
                <w:sz w:val="24"/>
                <w:szCs w:val="24"/>
              </w:rPr>
              <w:t>EO:6.1.1/6.1.4</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公司运行风险分析及相应措施：</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内部的：</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1、风险和机遇：人员素质参差不齐，环保意识不强，对岗位环境因素认识不足，控制方法不明确；</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应对措施：制定相应管理文件，组织员工参与岗位环境因素的识别，岗位重要因素的培训。</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适用环境法律法规的识别、收集及宣传不够，相对应公司内部活动及环境因素不够明确，部分员工守法意识淡薄。</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应对措施：加强识别、收集，定期更新，重要条款予以培训或纳入制度中。</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公司环保资质及设施较为齐全，但管理制度尚不够健全；</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应对措施：建立健全环保制度，严格落实执行。</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在确定潜在的紧急情况  例如：火灾发生；</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应对措施：制定应急预案，定期培训防火常识，定期防火演练。</w:t>
            </w:r>
          </w:p>
          <w:p>
            <w:pPr>
              <w:spacing w:line="360" w:lineRule="auto"/>
              <w:ind w:firstLine="240" w:firstLineChars="100"/>
              <w:rPr>
                <w:rFonts w:ascii="华文中宋" w:hAnsi="华文中宋" w:eastAsia="华文中宋"/>
                <w:color w:val="000000"/>
                <w:sz w:val="24"/>
                <w:szCs w:val="24"/>
              </w:rPr>
            </w:pP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外部的：</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辖区区对本企业的环保要求及检查力度相对较低；</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应对措施：建立健全环保制度，严格落实执行。</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部分顾客对产品质量和安全比较关注；</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应对措施：销售环节加大检测力度。</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本项目轻微污染，且无废气，废水产生，且周围500米内无农村住宅等环境敏感保护目标；</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应对措施：加大产品销售力度，扩大市场占有。</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4未履行合规义务可损害组织的声誉或导致诉讼；</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应对措施：加强对法律法规执行，遵守法规要求，更多地履行合规义务，能够提升组织的声誉，</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5附近设施 例如：工厂、道路的潜在紧急情况。</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应对措施：加强外部沟通，加强环境意识，及应急情况通报，启动本单位应急预案。</w:t>
            </w:r>
          </w:p>
          <w:p>
            <w:pPr>
              <w:spacing w:line="360" w:lineRule="auto"/>
              <w:ind w:firstLine="240" w:firstLineChars="100"/>
              <w:rPr>
                <w:rFonts w:ascii="华文中宋" w:hAnsi="华文中宋" w:eastAsia="华文中宋"/>
                <w:color w:val="000000"/>
                <w:sz w:val="24"/>
                <w:szCs w:val="24"/>
              </w:rPr>
            </w:pP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编制：郝凌宇        批准：陈喜  2020.1.5</w:t>
            </w:r>
          </w:p>
          <w:p>
            <w:pPr>
              <w:spacing w:line="360" w:lineRule="auto"/>
              <w:ind w:firstLine="240" w:firstLineChars="100"/>
              <w:rPr>
                <w:rFonts w:ascii="华文中宋" w:hAnsi="华文中宋" w:eastAsia="华文中宋"/>
                <w:color w:val="000000"/>
                <w:sz w:val="24"/>
                <w:szCs w:val="24"/>
              </w:rPr>
            </w:pP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风险的评估</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对于以上涉及到的主要风险，一旦发生，均可能对公司的发展造成巨大损失，所以应时刻监视并评价相关环境因素，尽可能的规避风险发生或降低发生概率。</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spacing w:before="120"/>
              <w:rPr>
                <w:sz w:val="24"/>
                <w:szCs w:val="24"/>
              </w:rPr>
            </w:pPr>
            <w:r>
              <w:rPr>
                <w:rFonts w:hint="eastAsia"/>
                <w:sz w:val="24"/>
                <w:szCs w:val="24"/>
              </w:rPr>
              <w:t>目标及其实现的策划</w:t>
            </w:r>
          </w:p>
        </w:tc>
        <w:tc>
          <w:tcPr>
            <w:tcW w:w="1095" w:type="dxa"/>
          </w:tcPr>
          <w:p>
            <w:pPr>
              <w:spacing w:before="120"/>
              <w:rPr>
                <w:sz w:val="24"/>
                <w:szCs w:val="24"/>
              </w:rPr>
            </w:pPr>
            <w:r>
              <w:rPr>
                <w:rFonts w:hint="eastAsia"/>
                <w:sz w:val="24"/>
                <w:szCs w:val="24"/>
              </w:rPr>
              <w:t>EO:6.2</w:t>
            </w:r>
          </w:p>
        </w:tc>
        <w:tc>
          <w:tcPr>
            <w:tcW w:w="10671" w:type="dxa"/>
          </w:tcPr>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公司管理层以公司的环境/职业健康安全方针为框架，结合公司的实际运营情况，制定公司的环境/职业健康安全目标，为：</w:t>
            </w:r>
          </w:p>
          <w:p>
            <w:pPr>
              <w:pStyle w:val="2"/>
            </w:pPr>
            <w:r>
              <w:rPr>
                <w:rFonts w:hint="eastAsia"/>
              </w:rPr>
              <w:t>序号             目标                                                    考核</w:t>
            </w:r>
          </w:p>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1）环境目标：</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1.废弃物100%实现分类存放，合理处置。</w:t>
            </w:r>
            <w:r>
              <w:rPr>
                <w:rFonts w:hint="eastAsia" w:ascii="华文中宋" w:hAnsi="华文中宋" w:eastAsia="华文中宋"/>
                <w:color w:val="000000"/>
                <w:sz w:val="24"/>
                <w:szCs w:val="24"/>
              </w:rPr>
              <w:t xml:space="preserve">                                     100%</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2.杜绝火灾、爆炸事故发生。</w:t>
            </w:r>
            <w:r>
              <w:rPr>
                <w:rFonts w:hint="eastAsia" w:ascii="华文中宋" w:hAnsi="华文中宋" w:eastAsia="华文中宋"/>
                <w:color w:val="000000"/>
                <w:sz w:val="24"/>
                <w:szCs w:val="24"/>
              </w:rPr>
              <w:t xml:space="preserve">                                                 0</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3.厂界噪声达到《工业企业厂界环境噪声排放标准》(GB12348-2008)II类标准。</w:t>
            </w:r>
            <w:r>
              <w:rPr>
                <w:rFonts w:hint="eastAsia" w:ascii="华文中宋" w:hAnsi="华文中宋" w:eastAsia="华文中宋"/>
                <w:color w:val="000000"/>
                <w:sz w:val="24"/>
                <w:szCs w:val="24"/>
              </w:rPr>
              <w:t xml:space="preserve">    达标</w:t>
            </w:r>
          </w:p>
          <w:p>
            <w:pPr>
              <w:spacing w:line="360" w:lineRule="auto"/>
              <w:ind w:firstLine="240" w:firstLineChars="100"/>
              <w:rPr>
                <w:rFonts w:ascii="华文中宋" w:hAnsi="华文中宋" w:eastAsia="华文中宋"/>
                <w:color w:val="000000"/>
                <w:sz w:val="24"/>
                <w:szCs w:val="24"/>
                <w:lang w:val="zh-CN"/>
              </w:rPr>
            </w:pPr>
            <w:r>
              <w:rPr>
                <w:rFonts w:hint="eastAsia" w:ascii="华文中宋" w:hAnsi="华文中宋" w:eastAsia="华文中宋"/>
                <w:color w:val="000000"/>
                <w:sz w:val="24"/>
                <w:szCs w:val="24"/>
                <w:lang w:val="zh-CN"/>
              </w:rPr>
              <w:t>2）安全目标</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1.杜绝发生死亡、重伤事故。</w:t>
            </w:r>
            <w:r>
              <w:rPr>
                <w:rFonts w:hint="eastAsia" w:ascii="华文中宋" w:hAnsi="华文中宋" w:eastAsia="华文中宋"/>
                <w:color w:val="000000"/>
                <w:sz w:val="24"/>
                <w:szCs w:val="24"/>
              </w:rPr>
              <w:t xml:space="preserve">                                                  0</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2.轻伤每年不超过3起。</w:t>
            </w:r>
            <w:r>
              <w:rPr>
                <w:rFonts w:hint="eastAsia" w:ascii="华文中宋" w:hAnsi="华文中宋" w:eastAsia="华文中宋"/>
                <w:color w:val="000000"/>
                <w:sz w:val="24"/>
                <w:szCs w:val="24"/>
              </w:rPr>
              <w:t xml:space="preserve">                                                      0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lang w:val="zh-CN"/>
              </w:rPr>
              <w:t>3.火灾事故发生率为0</w:t>
            </w:r>
            <w:r>
              <w:rPr>
                <w:rFonts w:hint="eastAsia" w:ascii="华文中宋" w:hAnsi="华文中宋" w:eastAsia="华文中宋"/>
                <w:color w:val="000000"/>
                <w:sz w:val="24"/>
                <w:szCs w:val="24"/>
              </w:rPr>
              <w:t xml:space="preserve">                                                        0</w:t>
            </w:r>
          </w:p>
          <w:p>
            <w:pPr>
              <w:rPr>
                <w:rFonts w:ascii="华文中宋" w:hAnsi="华文中宋" w:eastAsia="华文中宋"/>
                <w:color w:val="000000"/>
                <w:sz w:val="24"/>
                <w:szCs w:val="24"/>
                <w:lang w:val="zh-CN"/>
              </w:rPr>
            </w:pPr>
            <w:r>
              <w:rPr>
                <w:rFonts w:hint="eastAsia"/>
                <w:sz w:val="24"/>
              </w:rPr>
              <w:t>统计时间：2020.6.30统计人：郝凌宇</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管理目标在各个部门进行了分解并于每季度进行一次考核。</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tcPr>
          <w:p>
            <w:pPr>
              <w:spacing w:before="120"/>
              <w:rPr>
                <w:sz w:val="24"/>
                <w:szCs w:val="24"/>
              </w:rPr>
            </w:pPr>
            <w:r>
              <w:rPr>
                <w:rFonts w:hint="eastAsia"/>
                <w:sz w:val="24"/>
                <w:szCs w:val="24"/>
              </w:rPr>
              <w:t>资源</w:t>
            </w:r>
          </w:p>
        </w:tc>
        <w:tc>
          <w:tcPr>
            <w:tcW w:w="1095" w:type="dxa"/>
          </w:tcPr>
          <w:p>
            <w:pPr>
              <w:spacing w:before="120"/>
              <w:rPr>
                <w:sz w:val="24"/>
                <w:szCs w:val="24"/>
              </w:rPr>
            </w:pPr>
            <w:r>
              <w:rPr>
                <w:rFonts w:hint="eastAsia"/>
                <w:sz w:val="24"/>
                <w:szCs w:val="24"/>
              </w:rPr>
              <w:t>EO:7.1</w:t>
            </w: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公司在</w:t>
            </w:r>
            <w:bookmarkStart w:id="1" w:name="生产地址"/>
            <w:r>
              <w:rPr>
                <w:rFonts w:ascii="华文中宋" w:hAnsi="华文中宋" w:eastAsia="华文中宋"/>
                <w:color w:val="000000"/>
                <w:sz w:val="24"/>
                <w:szCs w:val="24"/>
              </w:rPr>
              <w:t>保定市徐水区大王店镇北龙山村</w:t>
            </w:r>
            <w:bookmarkEnd w:id="1"/>
            <w:r>
              <w:rPr>
                <w:rFonts w:hint="eastAsia" w:ascii="华文中宋" w:hAnsi="华文中宋" w:eastAsia="华文中宋"/>
                <w:color w:val="000000"/>
                <w:sz w:val="24"/>
                <w:szCs w:val="24"/>
              </w:rPr>
              <w:t>，企业占地2559平米，有办公设备电脑、办公桌椅等，有具有专业技能的人员和专业的销售人员。有本公司的销售网络和客户群。</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公司确定并提供为建立、实施、保持和持续改进质量、环境、职业健康安全管理体系所需的资源。公司考虑：</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a) 现有内部资源的能力和约束；b) 需要从外部供方获取的资源。</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人员：公司确定并提供所需要的人员，以有效实施管理体系并运行和控制其过程。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办公室负责提出所需设备的配置申请，由办公室汇总核定，经体系负责人审核，报总经理批准后，由技术部购置。新购进设备由技术部组织验收后，建账、建卡进行管理。各使用部门按《机械设备管理程序》办理手续后使用。</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办公室负责对监视和测量设备的控制管理工作，建立《监视和测量设备台账》，负责组织监视和测量设备的周期检定工作，具体执行《监视和测量资源控制程序》。</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办公室负责提供必备的办公设备，如电话机、传真机、复印机、扫描仪、计算机、打印机等。</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公司总部的水电供应由办公室负责，各部门按《节能降耗控制程序》的规定使用水、电等能源资源。</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过程运行环境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公司应确保为服务全过程提供符合要求的工作环境，保证服务质量并预防环境污染。在雨季或冬季销售时，制定冬、雨季检测措施，保证工作环境符合要求。</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总体环境</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各部门负责保持各自办公室的环境卫生。各种废弃物的处理按《服务过程控制程序》和《废弃物控制程序》执行，办公室负责监督检查。每个员工都有责任创造和谐、舒适的工作环境。</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销售环境;a.噪声污染控制由办公室组织按《噪声控制程序》的有关规定进行控制。b.销售现场粉尘、垃圾、污水排放控制，由技术部按《服务过程控制程序》的有关规定执行。c.各部门依据有关操作规定和规程组织服务，具体执行《服务过程控制程序》和《环境运行控制程序》。d.办公室负责提供涉及环境保护的设备、设施和用品。e创造良好的工作环境，努力提高工作效率。办公室负责环境状况的监督检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此外，创造无歧视、和谐稳定、无对抗的工作氛围，采取措施舒缓心理压力、预防过度疲劳、保护个人情感也是过程运行环境管理的重要组成部分。</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监视、测量、分析和评价</w:t>
            </w:r>
          </w:p>
        </w:tc>
        <w:tc>
          <w:tcPr>
            <w:tcW w:w="1095" w:type="dxa"/>
          </w:tcPr>
          <w:p>
            <w:pPr>
              <w:spacing w:before="120"/>
              <w:rPr>
                <w:sz w:val="24"/>
                <w:szCs w:val="24"/>
              </w:rPr>
            </w:pPr>
            <w:r>
              <w:rPr>
                <w:rFonts w:hint="eastAsia"/>
                <w:sz w:val="24"/>
                <w:szCs w:val="24"/>
              </w:rPr>
              <w:t>EO:9.1</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公司策划的监视、测量、分析和评价的内容有：</w:t>
            </w:r>
          </w:p>
          <w:p>
            <w:pPr>
              <w:autoSpaceDE w:val="0"/>
              <w:autoSpaceDN w:val="0"/>
              <w:adjustRightInd w:val="0"/>
              <w:spacing w:line="360" w:lineRule="auto"/>
              <w:jc w:val="left"/>
              <w:rPr>
                <w:rFonts w:ascii="宋体" w:hAnsi="宋体" w:cs="黑体"/>
                <w:b/>
                <w:kern w:val="0"/>
                <w:sz w:val="24"/>
              </w:rPr>
            </w:pPr>
            <w:r>
              <w:rPr>
                <w:rFonts w:hint="eastAsia" w:ascii="宋体" w:hAnsi="宋体" w:cs="黑体"/>
                <w:b/>
                <w:kern w:val="0"/>
                <w:sz w:val="24"/>
              </w:rPr>
              <w:t>环境目标</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1.</w:t>
            </w:r>
            <w:r>
              <w:rPr>
                <w:rFonts w:hint="eastAsia" w:ascii="宋体" w:hAnsi="宋体" w:cs="黑体"/>
                <w:bCs/>
                <w:kern w:val="0"/>
                <w:sz w:val="24"/>
              </w:rPr>
              <w:t>废弃物</w:t>
            </w:r>
            <w:r>
              <w:rPr>
                <w:rFonts w:ascii="宋体" w:hAnsi="宋体" w:cs="黑体"/>
                <w:bCs/>
                <w:kern w:val="0"/>
                <w:sz w:val="24"/>
              </w:rPr>
              <w:t>100%</w:t>
            </w:r>
            <w:r>
              <w:rPr>
                <w:rFonts w:hint="eastAsia" w:ascii="宋体" w:hAnsi="宋体" w:cs="黑体"/>
                <w:bCs/>
                <w:kern w:val="0"/>
                <w:sz w:val="24"/>
              </w:rPr>
              <w:t>实现分类存放，合理处置。</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2.</w:t>
            </w:r>
            <w:r>
              <w:rPr>
                <w:rFonts w:hint="eastAsia" w:ascii="宋体" w:hAnsi="宋体" w:cs="黑体"/>
                <w:bCs/>
                <w:kern w:val="0"/>
                <w:sz w:val="24"/>
              </w:rPr>
              <w:t>杜绝发生重大污染事故。</w:t>
            </w:r>
          </w:p>
          <w:p>
            <w:pPr>
              <w:autoSpaceDE w:val="0"/>
              <w:autoSpaceDN w:val="0"/>
              <w:adjustRightInd w:val="0"/>
              <w:spacing w:line="360" w:lineRule="auto"/>
              <w:ind w:firstLine="734" w:firstLineChars="306"/>
              <w:jc w:val="left"/>
            </w:pPr>
            <w:r>
              <w:rPr>
                <w:rFonts w:ascii="宋体" w:hAnsi="宋体" w:cs="黑体"/>
                <w:bCs/>
                <w:kern w:val="0"/>
                <w:sz w:val="24"/>
              </w:rPr>
              <w:t>3.</w:t>
            </w:r>
            <w:r>
              <w:rPr>
                <w:rFonts w:hint="eastAsia" w:ascii="宋体" w:hAnsi="宋体" w:cs="黑体"/>
                <w:bCs/>
                <w:kern w:val="0"/>
                <w:sz w:val="24"/>
              </w:rPr>
              <w:t>厂界噪声执行《工业企业厂界环境噪声标准》(GB12348-2008)II类标准3类标准：昼间65dB（A），夜间55dB（A）。</w:t>
            </w:r>
          </w:p>
          <w:p>
            <w:pPr>
              <w:autoSpaceDE w:val="0"/>
              <w:autoSpaceDN w:val="0"/>
              <w:adjustRightInd w:val="0"/>
              <w:spacing w:line="360" w:lineRule="auto"/>
              <w:jc w:val="left"/>
              <w:rPr>
                <w:rFonts w:ascii="宋体" w:hAnsi="宋体" w:cs="黑体"/>
                <w:b/>
                <w:kern w:val="0"/>
                <w:sz w:val="24"/>
              </w:rPr>
            </w:pPr>
            <w:r>
              <w:rPr>
                <w:rFonts w:hint="eastAsia" w:ascii="宋体" w:hAnsi="宋体" w:cs="黑体"/>
                <w:b/>
                <w:kern w:val="0"/>
                <w:sz w:val="24"/>
              </w:rPr>
              <w:t>安全目标</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1.</w:t>
            </w:r>
            <w:r>
              <w:rPr>
                <w:rFonts w:hint="eastAsia" w:ascii="宋体" w:hAnsi="宋体" w:cs="黑体"/>
                <w:bCs/>
                <w:kern w:val="0"/>
                <w:sz w:val="24"/>
              </w:rPr>
              <w:t>杜绝发生重伤、死亡事故。</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2.</w:t>
            </w:r>
            <w:r>
              <w:rPr>
                <w:rFonts w:hint="eastAsia" w:ascii="宋体" w:hAnsi="宋体" w:cs="黑体"/>
                <w:bCs/>
                <w:kern w:val="0"/>
                <w:sz w:val="24"/>
              </w:rPr>
              <w:t>轻伤每年不超过</w:t>
            </w:r>
            <w:r>
              <w:rPr>
                <w:rFonts w:ascii="宋体" w:hAnsi="宋体" w:cs="黑体"/>
                <w:bCs/>
                <w:kern w:val="0"/>
                <w:sz w:val="24"/>
              </w:rPr>
              <w:t>3</w:t>
            </w:r>
            <w:r>
              <w:rPr>
                <w:rFonts w:hint="eastAsia" w:ascii="宋体" w:hAnsi="宋体" w:cs="黑体"/>
                <w:bCs/>
                <w:kern w:val="0"/>
                <w:sz w:val="24"/>
              </w:rPr>
              <w:t>起。</w:t>
            </w:r>
          </w:p>
          <w:p>
            <w:pPr>
              <w:autoSpaceDE w:val="0"/>
              <w:autoSpaceDN w:val="0"/>
              <w:adjustRightInd w:val="0"/>
              <w:spacing w:line="360" w:lineRule="auto"/>
              <w:ind w:firstLine="734" w:firstLineChars="306"/>
              <w:jc w:val="left"/>
              <w:rPr>
                <w:rFonts w:ascii="宋体" w:hAnsi="宋体" w:cs="黑体"/>
                <w:bCs/>
                <w:kern w:val="0"/>
                <w:sz w:val="24"/>
              </w:rPr>
            </w:pPr>
            <w:r>
              <w:rPr>
                <w:rFonts w:ascii="宋体" w:hAnsi="宋体" w:cs="黑体"/>
                <w:bCs/>
                <w:kern w:val="0"/>
                <w:sz w:val="24"/>
              </w:rPr>
              <w:t>3.</w:t>
            </w:r>
            <w:r>
              <w:rPr>
                <w:rFonts w:hint="eastAsia" w:ascii="宋体" w:hAnsi="宋体" w:cs="黑体"/>
                <w:bCs/>
                <w:kern w:val="0"/>
                <w:sz w:val="24"/>
              </w:rPr>
              <w:t>火灾事故发生率为</w:t>
            </w:r>
            <w:r>
              <w:rPr>
                <w:rFonts w:ascii="宋体" w:hAnsi="宋体" w:cs="黑体"/>
                <w:bCs/>
                <w:kern w:val="0"/>
                <w:sz w:val="24"/>
              </w:rPr>
              <w:t>0</w:t>
            </w:r>
            <w:r>
              <w:rPr>
                <w:rFonts w:hint="eastAsia" w:ascii="宋体" w:hAnsi="宋体" w:cs="黑体"/>
                <w:bCs/>
                <w:kern w:val="0"/>
                <w:sz w:val="24"/>
              </w:rPr>
              <w:t>。</w:t>
            </w:r>
          </w:p>
          <w:p>
            <w:pPr>
              <w:pStyle w:val="2"/>
            </w:pPr>
            <w:r>
              <w:rPr>
                <w:rFonts w:hint="eastAsia" w:ascii="宋体" w:hAnsi="宋体" w:cs="黑体"/>
                <w:kern w:val="0"/>
                <w:sz w:val="24"/>
              </w:rPr>
              <w:t xml:space="preserve">  公司规定每季度对制定的目标考核一次，</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监视、测量、分析和评价满足标准要求；</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管理评审</w:t>
            </w:r>
          </w:p>
        </w:tc>
        <w:tc>
          <w:tcPr>
            <w:tcW w:w="1095" w:type="dxa"/>
          </w:tcPr>
          <w:p>
            <w:pPr>
              <w:spacing w:before="120"/>
              <w:rPr>
                <w:sz w:val="24"/>
                <w:szCs w:val="24"/>
              </w:rPr>
            </w:pPr>
            <w:r>
              <w:rPr>
                <w:rFonts w:hint="eastAsia"/>
                <w:sz w:val="24"/>
                <w:szCs w:val="24"/>
              </w:rPr>
              <w:t>EO:9.3</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查按照策划的要求，于2020年8月26日由总经理主持进行了管理评审，提供了会议签到表。</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出示各部门输入资料：各部门领导做了本部门的体系运行工作汇报。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管理评审提出的改进措施正在实施过程中。</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提供了《环境、职业健康安全管理体系管理评审计划》，明确了评审目的、地点、参加评审的人员、评审的内容和各部门需准备的评审材料。</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查实施：</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查按照策划的要求，于2020年8月26日由总经理主持进行了管理评审。提供了会议签到表 。</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出示各部门输入资料：部门领导做了本部门的体系运行工作汇报。</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改进的建议：⑴　公司内部人员素质的提升，加强对质量/环境/职业健康方面认识；</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⑵　加强员工对质量/环境/职业健康方针、目标、指标的了解。</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管理评审提出的改进措施正在实施情况;</w:t>
            </w:r>
          </w:p>
          <w:p>
            <w:pPr>
              <w:spacing w:line="460" w:lineRule="exact"/>
              <w:jc w:val="left"/>
              <w:rPr>
                <w:rFonts w:hint="eastAsia" w:ascii="华文中宋" w:hAnsi="华文中宋" w:eastAsia="华文中宋"/>
                <w:color w:val="000000"/>
                <w:sz w:val="24"/>
                <w:szCs w:val="24"/>
              </w:rPr>
            </w:pPr>
            <w:r>
              <w:rPr>
                <w:rFonts w:hint="eastAsia" w:ascii="华文中宋" w:hAnsi="华文中宋" w:eastAsia="华文中宋"/>
                <w:color w:val="000000"/>
                <w:sz w:val="24"/>
                <w:szCs w:val="24"/>
              </w:rPr>
              <w:t>针对8月26日管理评审输出做出的安排，对二项需要整改的工作完成情况进行了检查，具体情况如下：</w:t>
            </w:r>
          </w:p>
          <w:p>
            <w:pPr>
              <w:spacing w:line="460" w:lineRule="exact"/>
              <w:jc w:val="left"/>
              <w:rPr>
                <w:rFonts w:hint="eastAsia" w:ascii="华文中宋" w:hAnsi="华文中宋" w:eastAsia="华文中宋"/>
                <w:color w:val="000000"/>
                <w:sz w:val="24"/>
                <w:szCs w:val="24"/>
              </w:rPr>
            </w:pPr>
            <w:r>
              <w:rPr>
                <w:rFonts w:hint="eastAsia" w:ascii="华文中宋" w:hAnsi="华文中宋" w:eastAsia="华文中宋"/>
                <w:color w:val="000000"/>
                <w:sz w:val="24"/>
                <w:szCs w:val="24"/>
              </w:rPr>
              <w:t>1. 查办公室已于8月27日制订完成员工素质提升培训计划，加强员工对三体系的认识和理解。</w:t>
            </w:r>
          </w:p>
          <w:p>
            <w:pPr>
              <w:spacing w:line="460" w:lineRule="exact"/>
              <w:jc w:val="left"/>
              <w:rPr>
                <w:rFonts w:hint="eastAsia" w:ascii="华文中宋" w:hAnsi="华文中宋" w:eastAsia="华文中宋"/>
                <w:color w:val="000000"/>
                <w:sz w:val="24"/>
                <w:szCs w:val="24"/>
              </w:rPr>
            </w:pPr>
            <w:r>
              <w:rPr>
                <w:rFonts w:hint="eastAsia" w:ascii="华文中宋" w:hAnsi="华文中宋" w:eastAsia="华文中宋"/>
                <w:color w:val="000000"/>
                <w:sz w:val="24"/>
                <w:szCs w:val="24"/>
              </w:rPr>
              <w:t>2.2020年8月28日办公室已对全体员工进行质量</w:t>
            </w:r>
            <w:r>
              <w:rPr>
                <w:rFonts w:ascii="华文中宋" w:hAnsi="华文中宋" w:eastAsia="华文中宋"/>
                <w:color w:val="000000"/>
                <w:sz w:val="24"/>
                <w:szCs w:val="24"/>
              </w:rPr>
              <w:t>/</w:t>
            </w:r>
            <w:r>
              <w:rPr>
                <w:rFonts w:hint="eastAsia" w:ascii="华文中宋" w:hAnsi="华文中宋" w:eastAsia="华文中宋"/>
                <w:color w:val="000000"/>
                <w:sz w:val="24"/>
                <w:szCs w:val="24"/>
              </w:rPr>
              <w:t>环境</w:t>
            </w:r>
            <w:r>
              <w:rPr>
                <w:rFonts w:ascii="华文中宋" w:hAnsi="华文中宋" w:eastAsia="华文中宋"/>
                <w:color w:val="000000"/>
                <w:sz w:val="24"/>
                <w:szCs w:val="24"/>
              </w:rPr>
              <w:t>/</w:t>
            </w:r>
            <w:r>
              <w:rPr>
                <w:rFonts w:hint="eastAsia" w:ascii="华文中宋" w:hAnsi="华文中宋" w:eastAsia="华文中宋"/>
                <w:color w:val="000000"/>
                <w:sz w:val="24"/>
                <w:szCs w:val="24"/>
              </w:rPr>
              <w:t>职业健康方针、目标、指标的理解培训。</w:t>
            </w:r>
          </w:p>
          <w:p>
            <w:pPr>
              <w:spacing w:line="460" w:lineRule="exact"/>
              <w:jc w:val="left"/>
              <w:rPr>
                <w:rFonts w:hint="eastAsia" w:ascii="华文中宋" w:hAnsi="华文中宋" w:eastAsia="华文中宋"/>
                <w:color w:val="000000"/>
                <w:sz w:val="24"/>
                <w:szCs w:val="24"/>
              </w:rPr>
            </w:pPr>
            <w:r>
              <w:rPr>
                <w:rFonts w:hint="eastAsia" w:ascii="华文中宋" w:hAnsi="华文中宋" w:eastAsia="华文中宋"/>
                <w:color w:val="000000"/>
                <w:sz w:val="24"/>
                <w:szCs w:val="24"/>
              </w:rPr>
              <w:t xml:space="preserve">    总之，通过整改以上工作有了一个较大改观，但还需进一步加强。</w:t>
            </w:r>
          </w:p>
          <w:p>
            <w:pPr>
              <w:spacing w:line="460" w:lineRule="exact"/>
              <w:ind w:right="480"/>
              <w:rPr>
                <w:rFonts w:ascii="宋体" w:hAnsi="宋体"/>
                <w:color w:val="000000"/>
                <w:sz w:val="24"/>
              </w:rPr>
            </w:pPr>
            <w:r>
              <w:rPr>
                <w:rFonts w:hint="eastAsia" w:ascii="华文中宋" w:hAnsi="华文中宋" w:eastAsia="华文中宋"/>
                <w:color w:val="000000"/>
                <w:sz w:val="24"/>
                <w:szCs w:val="24"/>
              </w:rPr>
              <w:t xml:space="preserve">检查人：郝凌宇 </w:t>
            </w:r>
            <w:r>
              <w:rPr>
                <w:rFonts w:hint="eastAsia" w:ascii="宋体" w:hAnsi="宋体"/>
                <w:color w:val="000000"/>
                <w:sz w:val="24"/>
              </w:rPr>
              <w:t xml:space="preserve"> </w:t>
            </w:r>
            <w:r>
              <w:rPr>
                <w:rFonts w:hint="eastAsia" w:ascii="华文中宋" w:hAnsi="华文中宋" w:eastAsia="华文中宋"/>
                <w:color w:val="000000"/>
                <w:sz w:val="24"/>
                <w:szCs w:val="24"/>
              </w:rPr>
              <w:t xml:space="preserve">  日期：2020.8.28</w:t>
            </w:r>
          </w:p>
        </w:tc>
        <w:tc>
          <w:tcPr>
            <w:tcW w:w="783" w:type="dxa"/>
          </w:tcPr>
          <w:p>
            <w:pPr>
              <w:spacing w:before="120"/>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改进总则</w:t>
            </w:r>
          </w:p>
        </w:tc>
        <w:tc>
          <w:tcPr>
            <w:tcW w:w="1095" w:type="dxa"/>
          </w:tcPr>
          <w:p>
            <w:pPr>
              <w:spacing w:before="120"/>
              <w:rPr>
                <w:sz w:val="24"/>
                <w:szCs w:val="24"/>
              </w:rPr>
            </w:pPr>
            <w:r>
              <w:rPr>
                <w:rFonts w:hint="eastAsia"/>
                <w:sz w:val="24"/>
                <w:szCs w:val="24"/>
              </w:rPr>
              <w:t>EO：10.1</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公司确定并选择改进机会，采取必要措施，满足顾客要求和增强顾客满意。这些包括：</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a) 改进服务，以满足要求并关注未来的需求和期望；</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b) 纠正、预防或减少不利影响；</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c) 改进质量、环境、职业健康安全管理体系绩效和有效性。</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改进内容包括纠正、纠正措施、持续改进、突变、创新或重组等。</w:t>
            </w:r>
          </w:p>
        </w:tc>
        <w:tc>
          <w:tcPr>
            <w:tcW w:w="783" w:type="dxa"/>
          </w:tcPr>
          <w:p>
            <w:pPr>
              <w:spacing w:before="120"/>
            </w:pPr>
          </w:p>
          <w:p>
            <w:pPr>
              <w:pStyle w:val="2"/>
              <w:rPr>
                <w:sz w:val="24"/>
                <w:szCs w:val="24"/>
              </w:rPr>
            </w:pPr>
          </w:p>
          <w:p>
            <w:pPr>
              <w:pStyle w:val="2"/>
              <w:rPr>
                <w:sz w:val="24"/>
                <w:szCs w:val="24"/>
              </w:rPr>
            </w:pPr>
            <w:r>
              <w:rPr>
                <w:rFonts w:hint="eastAsia"/>
                <w:sz w:val="24"/>
                <w:szCs w:val="24"/>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sz w:val="24"/>
                <w:szCs w:val="24"/>
              </w:rPr>
            </w:pPr>
            <w:r>
              <w:rPr>
                <w:rFonts w:hint="eastAsia"/>
                <w:sz w:val="24"/>
                <w:szCs w:val="24"/>
              </w:rPr>
              <w:t>持续改进</w:t>
            </w:r>
          </w:p>
        </w:tc>
        <w:tc>
          <w:tcPr>
            <w:tcW w:w="1095" w:type="dxa"/>
          </w:tcPr>
          <w:p>
            <w:pPr>
              <w:spacing w:before="120"/>
              <w:rPr>
                <w:sz w:val="24"/>
                <w:szCs w:val="24"/>
              </w:rPr>
            </w:pPr>
            <w:r>
              <w:rPr>
                <w:rFonts w:hint="eastAsia"/>
                <w:sz w:val="24"/>
                <w:szCs w:val="24"/>
              </w:rPr>
              <w:t>EO:10.3</w:t>
            </w:r>
          </w:p>
          <w:p>
            <w:pPr>
              <w:spacing w:before="120"/>
              <w:rPr>
                <w:sz w:val="24"/>
                <w:szCs w:val="24"/>
              </w:rPr>
            </w:pPr>
          </w:p>
        </w:tc>
        <w:tc>
          <w:tcPr>
            <w:tcW w:w="10671" w:type="dxa"/>
          </w:tcPr>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spacing w:line="360" w:lineRule="auto"/>
              <w:ind w:firstLine="240" w:firstLineChars="100"/>
              <w:rPr>
                <w:rFonts w:ascii="华文中宋" w:hAnsi="华文中宋" w:eastAsia="华文中宋"/>
                <w:color w:val="000000"/>
                <w:sz w:val="24"/>
                <w:szCs w:val="24"/>
              </w:rPr>
            </w:pPr>
            <w:r>
              <w:rPr>
                <w:rFonts w:hint="eastAsia" w:ascii="华文中宋" w:hAnsi="华文中宋" w:eastAsia="华文中宋"/>
                <w:color w:val="000000"/>
                <w:sz w:val="24"/>
                <w:szCs w:val="24"/>
              </w:rPr>
              <w:t>在日常管理和内审、管评中对不断出现的客户和公司内外部的需求，作为持续改进的对象并予以实施。</w:t>
            </w:r>
          </w:p>
        </w:tc>
        <w:tc>
          <w:tcPr>
            <w:tcW w:w="783" w:type="dxa"/>
          </w:tcPr>
          <w:p>
            <w:pPr>
              <w:spacing w:before="120"/>
            </w:pPr>
          </w:p>
          <w:p>
            <w:pPr>
              <w:pStyle w:val="2"/>
              <w:rPr>
                <w:sz w:val="24"/>
                <w:szCs w:val="24"/>
              </w:rPr>
            </w:pPr>
          </w:p>
          <w:p>
            <w:pPr>
              <w:pStyle w:val="2"/>
              <w:rPr>
                <w:sz w:val="24"/>
                <w:szCs w:val="24"/>
              </w:rPr>
            </w:pPr>
          </w:p>
          <w:p>
            <w:pPr>
              <w:pStyle w:val="2"/>
              <w:rPr>
                <w:sz w:val="24"/>
                <w:szCs w:val="24"/>
              </w:rPr>
            </w:pPr>
            <w:r>
              <w:rPr>
                <w:rFonts w:hint="eastAsia"/>
                <w:sz w:val="24"/>
                <w:szCs w:val="24"/>
              </w:rPr>
              <w:t xml:space="preserve"> y</w:t>
            </w:r>
          </w:p>
          <w:p>
            <w:pPr>
              <w:pStyle w:val="2"/>
              <w:rPr>
                <w:sz w:val="24"/>
                <w:szCs w:val="24"/>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53B8"/>
    <w:rsid w:val="00430E39"/>
    <w:rsid w:val="00455EDE"/>
    <w:rsid w:val="00641F44"/>
    <w:rsid w:val="006C4B83"/>
    <w:rsid w:val="00885C9B"/>
    <w:rsid w:val="00AD232C"/>
    <w:rsid w:val="00B546EE"/>
    <w:rsid w:val="00C6138E"/>
    <w:rsid w:val="00D36A76"/>
    <w:rsid w:val="00F953B8"/>
    <w:rsid w:val="08821B8D"/>
    <w:rsid w:val="1A267351"/>
    <w:rsid w:val="25855D15"/>
    <w:rsid w:val="3048367F"/>
    <w:rsid w:val="30B727C5"/>
    <w:rsid w:val="35AD3F57"/>
    <w:rsid w:val="3DA07AD8"/>
    <w:rsid w:val="3DC01D82"/>
    <w:rsid w:val="68F452C7"/>
    <w:rsid w:val="76D66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sz w:val="18"/>
      <w:szCs w:val="18"/>
    </w:rPr>
  </w:style>
  <w:style w:type="character" w:customStyle="1" w:styleId="10">
    <w:name w:val="页脚 Char"/>
    <w:basedOn w:val="8"/>
    <w:link w:val="5"/>
    <w:qFormat/>
    <w:uiPriority w:val="0"/>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71"/>
    <w:uiPriority w:val="0"/>
    <w:rPr>
      <w:rFonts w:hint="eastAsia" w:ascii="宋体" w:hAnsi="宋体" w:eastAsia="宋体" w:cs="宋体"/>
      <w:b/>
      <w:color w:val="000000"/>
      <w:sz w:val="36"/>
      <w:szCs w:val="36"/>
      <w:u w:val="none"/>
    </w:rPr>
  </w:style>
  <w:style w:type="character" w:customStyle="1" w:styleId="14">
    <w:name w:val="font41"/>
    <w:uiPriority w:val="0"/>
    <w:rPr>
      <w:rFonts w:hint="eastAsia" w:ascii="宋体" w:hAnsi="宋体" w:eastAsia="宋体" w:cs="宋体"/>
      <w:b/>
      <w:color w:val="000000"/>
      <w:sz w:val="22"/>
      <w:szCs w:val="22"/>
      <w:u w:val="none"/>
    </w:rPr>
  </w:style>
  <w:style w:type="character" w:customStyle="1" w:styleId="15">
    <w:name w:val="font11"/>
    <w:uiPriority w:val="0"/>
    <w:rPr>
      <w:rFonts w:hint="default" w:ascii="Times New Roman" w:hAnsi="Times New Roman" w:cs="Times New Roman"/>
      <w:b/>
      <w:color w:val="000000"/>
      <w:sz w:val="22"/>
      <w:szCs w:val="22"/>
      <w:u w:val="none"/>
    </w:rPr>
  </w:style>
  <w:style w:type="character" w:customStyle="1" w:styleId="16">
    <w:name w:val="font31"/>
    <w:uiPriority w:val="0"/>
    <w:rPr>
      <w:rFonts w:hint="eastAsia" w:ascii="宋体" w:hAnsi="宋体" w:eastAsia="宋体" w:cs="宋体"/>
      <w:color w:val="000000"/>
      <w:sz w:val="18"/>
      <w:szCs w:val="18"/>
      <w:u w:val="none"/>
    </w:rPr>
  </w:style>
  <w:style w:type="character" w:customStyle="1" w:styleId="17">
    <w:name w:val="font21"/>
    <w:uiPriority w:val="0"/>
    <w:rPr>
      <w:rFonts w:hint="default" w:ascii="Times New Roman" w:hAnsi="Times New Roman" w:cs="Times New Roman"/>
      <w:color w:val="000000"/>
      <w:sz w:val="18"/>
      <w:szCs w:val="18"/>
      <w:u w:val="none"/>
    </w:rPr>
  </w:style>
  <w:style w:type="character" w:customStyle="1" w:styleId="18">
    <w:name w:val="font61"/>
    <w:uiPriority w:val="0"/>
    <w:rPr>
      <w:rFonts w:hint="eastAsia" w:ascii="宋体" w:hAnsi="宋体" w:eastAsia="宋体" w:cs="宋体"/>
      <w:color w:val="000000"/>
      <w:sz w:val="22"/>
      <w:szCs w:val="22"/>
      <w:u w:val="none"/>
    </w:rPr>
  </w:style>
  <w:style w:type="character" w:customStyle="1" w:styleId="19">
    <w:name w:val="font01"/>
    <w:uiPriority w:val="0"/>
    <w:rPr>
      <w:rFonts w:hint="default" w:ascii="Times New Roman" w:hAnsi="Times New Roman" w:cs="Times New Roman"/>
      <w:color w:val="000000"/>
      <w:sz w:val="24"/>
      <w:szCs w:val="24"/>
      <w:u w:val="none"/>
    </w:rPr>
  </w:style>
  <w:style w:type="character" w:customStyle="1" w:styleId="20">
    <w:name w:val="标题 1 Char"/>
    <w:basedOn w:val="8"/>
    <w:link w:val="3"/>
    <w:uiPriority w:val="0"/>
    <w:rPr>
      <w:b/>
      <w:bCs/>
      <w:kern w:val="44"/>
      <w:sz w:val="44"/>
      <w:szCs w:val="44"/>
    </w:rPr>
  </w:style>
  <w:style w:type="character" w:customStyle="1" w:styleId="21">
    <w:name w:val="font51"/>
    <w:uiPriority w:val="0"/>
    <w:rPr>
      <w:rFonts w:hint="default" w:ascii="Times New Roman" w:hAnsi="Times New Roman" w:cs="Times New Roman"/>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1027</Words>
  <Characters>5858</Characters>
  <Lines>48</Lines>
  <Paragraphs>13</Paragraphs>
  <TotalTime>23</TotalTime>
  <ScaleCrop>false</ScaleCrop>
  <LinksUpToDate>false</LinksUpToDate>
  <CharactersWithSpaces>6872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2020-09-30T00:49:30Z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