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06210" cy="9302115"/>
            <wp:effectExtent l="0" t="0" r="8890" b="6985"/>
            <wp:docPr id="3" name="图片 3" descr="新文档 2020-09-27 11.41.1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27 11.41.11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58"/>
        <w:gridCol w:w="1095"/>
        <w:gridCol w:w="6"/>
        <w:gridCol w:w="567"/>
        <w:gridCol w:w="1242"/>
        <w:gridCol w:w="75"/>
        <w:gridCol w:w="101"/>
        <w:gridCol w:w="589"/>
        <w:gridCol w:w="261"/>
        <w:gridCol w:w="4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河北斯力恩索具有限公司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保定市徐水区大王店镇北龙山村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王顺</w:t>
            </w:r>
            <w:bookmarkEnd w:id="2"/>
          </w:p>
        </w:tc>
        <w:tc>
          <w:tcPr>
            <w:tcW w:w="109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13315246783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陈喜</w:t>
            </w:r>
          </w:p>
        </w:tc>
        <w:tc>
          <w:tcPr>
            <w:tcW w:w="109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color w:val="auto"/>
                <w:sz w:val="21"/>
                <w:szCs w:val="21"/>
              </w:rPr>
              <w:t>3051231342@qq.com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0494-2020-EO</w:t>
            </w:r>
            <w:bookmarkEnd w:id="8"/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E：吊装绳索具、钢丝绳缆、带的生产；索具机械、钢材、纺织品的销售所涉及的相关环境管理活动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O：吊装绳索具、钢丝绳缆、带的生产；索具机械、钢材、纺织品的销售所涉及的相关职业健康安全管理活动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E：17.12.03;18.02.02;29.12.00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O：17.12.03;18.02.02;29.12.00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2020年09月27日 上午至2020年09月28日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O:17.12.03,29.12.00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肖新龙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17706316076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010920" cy="4870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2020.9.26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9.27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ISC-232380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：组织的岗位、职责权限；能力、培训和意识；信息交流、沟通参与和协商；文件总则、文件和记录控制；运行控制；内部审核；事件、不</w:t>
            </w:r>
            <w:bookmarkStart w:id="17" w:name="_GoBack"/>
            <w:bookmarkEnd w:id="17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ISC-232380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0514D"/>
    <w:rsid w:val="190A006F"/>
    <w:rsid w:val="61AE4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2020-09-30T00:55:57Z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