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hint="default" w:ascii="Times New Roman" w:hAnsi="Times New Roman" w:eastAsia="黑体"/>
          <w:sz w:val="20"/>
          <w:lang w:val="en-US" w:eastAsia="zh-CN"/>
        </w:rPr>
      </w:pPr>
      <w:r>
        <w:rPr>
          <w:rFonts w:hint="eastAsia" w:ascii="Times New Roman" w:hAnsi="Times New Roman"/>
          <w:bCs/>
          <w:kern w:val="0"/>
          <w:sz w:val="20"/>
          <w:lang w:val="en-US" w:eastAsia="zh-CN"/>
        </w:rPr>
        <w:t>【</w:t>
      </w:r>
      <w:bookmarkStart w:id="0" w:name="_GoBack"/>
      <w:bookmarkEnd w:id="0"/>
      <w:r>
        <w:rPr>
          <w:rFonts w:hint="eastAsia" w:ascii="Times New Roman" w:hAnsi="Times New Roman"/>
          <w:bCs/>
          <w:kern w:val="0"/>
          <w:sz w:val="20"/>
          <w:lang w:val="en-US" w:eastAsia="zh-CN"/>
        </w:rPr>
        <w:t xml:space="preserve">】 </w:t>
      </w:r>
      <w:r>
        <w:rPr>
          <w:rFonts w:hint="eastAsia" w:ascii="Times New Roman" w:hAnsi="Times New Roman"/>
          <w:bCs/>
          <w:kern w:val="0"/>
          <w:sz w:val="20"/>
          <w:lang w:val="en-US" w:eastAsia="zh-CN"/>
        </w:rPr>
        <w:tab/>
      </w:r>
      <w:r>
        <w:rPr>
          <w:rFonts w:ascii="Times New Roman" w:hAnsi="Times New Roman"/>
          <w:bCs/>
          <w:kern w:val="0"/>
          <w:sz w:val="20"/>
        </w:rPr>
        <w:t>编</w:t>
      </w:r>
      <w:r>
        <w:rPr>
          <w:rFonts w:hint="eastAsia" w:ascii="Times New Roman" w:hAnsi="Times New Roman"/>
          <w:bCs/>
          <w:kern w:val="0"/>
          <w:sz w:val="20"/>
        </w:rPr>
        <w:t xml:space="preserve">    </w:t>
      </w:r>
      <w:r>
        <w:rPr>
          <w:rFonts w:ascii="Times New Roman" w:hAnsi="Times New Roman"/>
          <w:bCs/>
          <w:kern w:val="0"/>
          <w:sz w:val="20"/>
        </w:rPr>
        <w:t>号：</w:t>
      </w:r>
      <w:r>
        <w:rPr>
          <w:rStyle w:val="9"/>
          <w:rFonts w:ascii="Times New Roman" w:hAnsi="Times New Roman" w:cs="Times New Roman"/>
          <w:szCs w:val="22"/>
          <w:u w:val="single"/>
          <w:lang w:val="zh-CN"/>
        </w:rPr>
        <w:t>0</w:t>
      </w:r>
      <w:r>
        <w:rPr>
          <w:rStyle w:val="9"/>
          <w:rFonts w:hint="eastAsia" w:ascii="Times New Roman" w:hAnsi="Times New Roman" w:eastAsia="黑体" w:cs="Times New Roman"/>
          <w:szCs w:val="22"/>
          <w:u w:val="single"/>
          <w:lang w:val="en-US" w:eastAsia="zh-CN"/>
        </w:rPr>
        <w:t>183</w:t>
      </w:r>
      <w:r>
        <w:rPr>
          <w:rStyle w:val="9"/>
          <w:rFonts w:ascii="Times New Roman" w:hAnsi="Times New Roman" w:cs="Times New Roman"/>
          <w:szCs w:val="22"/>
          <w:u w:val="single"/>
          <w:lang w:val="zh-CN"/>
        </w:rPr>
        <w:t>-20</w:t>
      </w:r>
      <w:r>
        <w:rPr>
          <w:rStyle w:val="9"/>
          <w:rFonts w:hint="eastAsia" w:ascii="Times New Roman" w:hAnsi="Times New Roman" w:eastAsia="黑体" w:cs="Times New Roman"/>
          <w:szCs w:val="22"/>
          <w:u w:val="single"/>
          <w:lang w:val="en-US" w:eastAsia="zh-CN"/>
        </w:rPr>
        <w:t>20</w:t>
      </w:r>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91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9180" w:type="dxa"/>
            <w:shd w:val="clear" w:color="auto" w:fill="auto"/>
            <w:vAlign w:val="center"/>
          </w:tcPr>
          <w:p>
            <w:pPr>
              <w:widowControl/>
              <w:tabs>
                <w:tab w:val="left" w:pos="5160"/>
              </w:tabs>
              <w:spacing w:line="360" w:lineRule="auto"/>
              <w:rPr>
                <w:rFonts w:hint="eastAsia" w:ascii="宋体" w:hAnsi="宋体" w:eastAsia="宋体" w:cs="宋体"/>
                <w:kern w:val="0"/>
                <w:szCs w:val="21"/>
                <w:lang w:val="en-US" w:eastAsia="zh-CN"/>
              </w:rPr>
            </w:pPr>
            <w:r>
              <w:rPr>
                <w:rFonts w:hint="eastAsia" w:ascii="宋体" w:hAnsi="宋体" w:cs="宋体"/>
                <w:color w:val="333333"/>
                <w:kern w:val="0"/>
                <w:szCs w:val="21"/>
              </w:rPr>
              <w:t>企业</w:t>
            </w:r>
            <w:r>
              <w:rPr>
                <w:rFonts w:hint="eastAsia" w:ascii="宋体" w:hAnsi="宋体" w:cs="宋体"/>
                <w:kern w:val="0"/>
                <w:szCs w:val="21"/>
              </w:rPr>
              <w:t>名称：</w:t>
            </w:r>
            <w:r>
              <w:rPr>
                <w:rFonts w:hint="eastAsia"/>
                <w:szCs w:val="21"/>
                <w:u w:val="none"/>
                <w:lang w:val="en-US" w:eastAsia="zh-CN"/>
              </w:rPr>
              <w:t>福建碧海源信息科技</w:t>
            </w:r>
            <w:r>
              <w:rPr>
                <w:rFonts w:hint="eastAsia" w:ascii="宋体" w:hAnsi="宋体"/>
                <w:szCs w:val="21"/>
                <w:u w:val="none"/>
                <w:lang w:eastAsia="zh-CN"/>
              </w:rPr>
              <w:t>有限公司</w:t>
            </w: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不符合报告编号：0</w:t>
            </w:r>
            <w:r>
              <w:rPr>
                <w:rFonts w:hint="eastAsia" w:ascii="宋体" w:hAnsi="宋体" w:cs="宋体"/>
                <w:kern w:val="0"/>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50" w:hRule="atLeast"/>
          <w:tblCellSpacing w:w="0" w:type="dxa"/>
        </w:trPr>
        <w:tc>
          <w:tcPr>
            <w:tcW w:w="9180" w:type="dxa"/>
            <w:shd w:val="clear" w:color="auto" w:fill="auto"/>
            <w:vAlign w:val="center"/>
          </w:tcPr>
          <w:p>
            <w:pPr>
              <w:spacing w:line="360" w:lineRule="exact"/>
              <w:rPr>
                <w:rFonts w:hint="default" w:ascii="宋体" w:hAnsi="宋体" w:eastAsia="宋体"/>
                <w:szCs w:val="21"/>
                <w:lang w:val="en-US" w:eastAsia="zh-CN"/>
              </w:rPr>
            </w:pPr>
            <w:r>
              <w:rPr>
                <w:rFonts w:hint="eastAsia" w:ascii="宋体" w:hAnsi="宋体" w:cs="宋体"/>
                <w:kern w:val="0"/>
                <w:szCs w:val="21"/>
              </w:rPr>
              <w:t>企业下属</w:t>
            </w:r>
            <w:r>
              <w:rPr>
                <w:rFonts w:ascii="宋体" w:hAnsi="宋体" w:cs="宋体"/>
                <w:kern w:val="0"/>
                <w:szCs w:val="21"/>
              </w:rPr>
              <w:t>部门:</w:t>
            </w:r>
            <w:r>
              <w:rPr>
                <w:rFonts w:hint="eastAsia" w:ascii="宋体" w:hAnsi="宋体" w:cs="宋体"/>
                <w:kern w:val="0"/>
                <w:szCs w:val="21"/>
              </w:rPr>
              <w:t xml:space="preserve"> </w:t>
            </w:r>
            <w:r>
              <w:rPr>
                <w:rFonts w:hint="eastAsia" w:ascii="宋体" w:hAnsi="宋体" w:cs="宋体"/>
                <w:kern w:val="0"/>
                <w:szCs w:val="21"/>
                <w:lang w:val="en-US" w:eastAsia="zh-CN"/>
              </w:rPr>
              <w:t>业务部</w:t>
            </w:r>
            <w:r>
              <w:rPr>
                <w:rFonts w:ascii="宋体" w:hAnsi="宋体"/>
                <w:szCs w:val="21"/>
              </w:rPr>
              <w:t xml:space="preserve">                                       </w:t>
            </w:r>
            <w:r>
              <w:rPr>
                <w:rFonts w:ascii="宋体" w:hAnsi="宋体" w:cs="宋体"/>
                <w:kern w:val="0"/>
                <w:szCs w:val="21"/>
              </w:rPr>
              <w:t>陪同人员:</w:t>
            </w:r>
            <w:r>
              <w:rPr>
                <w:rFonts w:hint="eastAsia" w:ascii="宋体" w:hAnsi="宋体" w:cs="宋体"/>
                <w:kern w:val="0"/>
                <w:szCs w:val="21"/>
                <w:lang w:val="en-US" w:eastAsia="zh-CN"/>
              </w:rPr>
              <w:t>陈琴端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28"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keepNext w:val="0"/>
              <w:keepLines w:val="0"/>
              <w:widowControl/>
              <w:suppressLineNumbers w:val="0"/>
              <w:ind w:firstLine="1260" w:firstLineChars="600"/>
              <w:jc w:val="left"/>
            </w:pPr>
            <w:r>
              <w:rPr>
                <w:rFonts w:hint="eastAsia" w:ascii="宋体" w:hAnsi="宋体" w:cs="宋体"/>
                <w:kern w:val="0"/>
                <w:szCs w:val="21"/>
                <w:lang w:val="en-US" w:eastAsia="zh-CN"/>
              </w:rPr>
              <w:t>业务</w:t>
            </w:r>
            <w:r>
              <w:rPr>
                <w:rFonts w:hint="eastAsia" w:ascii="宋体" w:hAnsi="宋体" w:cs="宋体"/>
                <w:kern w:val="0"/>
                <w:szCs w:val="21"/>
                <w:lang w:eastAsia="zh-CN"/>
              </w:rPr>
              <w:t>部</w:t>
            </w:r>
            <w:r>
              <w:rPr>
                <w:rFonts w:hint="eastAsia" w:ascii="宋体" w:hAnsi="宋体" w:cs="宋体"/>
                <w:kern w:val="0"/>
                <w:szCs w:val="21"/>
                <w:lang w:val="en-US" w:eastAsia="zh-CN"/>
              </w:rPr>
              <w:t>没有对提供总氮水质自动在线监测仪的深圳市郎石科学仪器有限公司进行合格供方评价，</w:t>
            </w:r>
            <w:r>
              <w:rPr>
                <w:rFonts w:hint="eastAsia" w:ascii="宋体" w:hAnsi="宋体" w:cs="宋体"/>
                <w:color w:val="auto"/>
                <w:kern w:val="0"/>
                <w:szCs w:val="21"/>
              </w:rPr>
              <w:t>不符合GB/T19022-2003标准中 6.</w:t>
            </w:r>
            <w:r>
              <w:rPr>
                <w:rFonts w:hint="eastAsia" w:ascii="宋体" w:hAnsi="宋体" w:cs="宋体"/>
                <w:color w:val="auto"/>
                <w:kern w:val="0"/>
                <w:szCs w:val="21"/>
                <w:lang w:val="en-US" w:eastAsia="zh-CN"/>
              </w:rPr>
              <w:t>4</w:t>
            </w:r>
            <w:r>
              <w:rPr>
                <w:rFonts w:hint="eastAsia" w:ascii="宋体" w:hAnsi="宋体" w:cs="宋体"/>
                <w:color w:val="auto"/>
                <w:kern w:val="0"/>
                <w:szCs w:val="21"/>
              </w:rPr>
              <w:t>条款</w:t>
            </w:r>
            <w:r>
              <w:rPr>
                <w:rFonts w:hint="eastAsia" w:ascii="宋体" w:hAnsi="宋体" w:cs="宋体"/>
                <w:color w:val="auto"/>
                <w:kern w:val="0"/>
                <w:szCs w:val="21"/>
                <w:lang w:val="en-US" w:eastAsia="zh-CN"/>
              </w:rPr>
              <w:t xml:space="preserve">   外部供方  </w:t>
            </w:r>
            <w:r>
              <w:rPr>
                <w:rFonts w:hint="eastAsia" w:ascii="宋体" w:hAnsi="宋体" w:cs="宋体"/>
                <w:color w:val="auto"/>
                <w:kern w:val="0"/>
                <w:szCs w:val="21"/>
              </w:rPr>
              <w:t>“</w:t>
            </w:r>
            <w:r>
              <w:rPr>
                <w:rFonts w:hint="eastAsia" w:ascii="宋体" w:hAnsi="宋体" w:eastAsia="宋体" w:cs="宋体"/>
                <w:color w:val="000000"/>
                <w:kern w:val="0"/>
                <w:sz w:val="19"/>
                <w:szCs w:val="19"/>
                <w:lang w:val="en-US" w:eastAsia="zh-CN" w:bidi="ar"/>
              </w:rPr>
              <w:t xml:space="preserve">应根据外部供方满足文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件规定要求的能力对其进行评价和选择。应规定选择、监视和评价的准则并形成文件，并记录评价结果。</w:t>
            </w:r>
          </w:p>
          <w:p>
            <w:pPr>
              <w:keepNext w:val="0"/>
              <w:keepLines w:val="0"/>
              <w:widowControl/>
              <w:suppressLineNumbers w:val="0"/>
              <w:jc w:val="left"/>
              <w:rPr>
                <w:rFonts w:hint="eastAsia" w:ascii="宋体" w:hAnsi="宋体" w:cs="宋体"/>
                <w:kern w:val="0"/>
                <w:szCs w:val="21"/>
              </w:rPr>
            </w:pPr>
            <w:r>
              <w:rPr>
                <w:rFonts w:hint="eastAsia" w:ascii="宋体" w:hAnsi="宋体" w:cs="宋体"/>
                <w:color w:val="auto"/>
                <w:kern w:val="0"/>
                <w:szCs w:val="21"/>
              </w:rPr>
              <w:t>”的规定要求。</w:t>
            </w:r>
          </w:p>
          <w:p>
            <w:pPr>
              <w:spacing w:line="440" w:lineRule="exact"/>
              <w:jc w:val="left"/>
              <w:rPr>
                <w:rFonts w:ascii="宋体" w:hAnsi="宋体"/>
                <w:szCs w:val="21"/>
                <w:u w:val="single"/>
              </w:rPr>
            </w:pPr>
            <w:r>
              <w:rPr>
                <w:rFonts w:ascii="宋体" w:hAnsi="宋体" w:cs="宋体"/>
                <w:kern w:val="0"/>
                <w:szCs w:val="21"/>
              </w:rPr>
              <w:t>不符</w:t>
            </w:r>
            <w:r>
              <w:rPr>
                <w:rFonts w:cs="宋体" w:asciiTheme="minorEastAsia" w:hAnsiTheme="minorEastAsia" w:eastAsiaTheme="minorEastAsia"/>
                <w:kern w:val="0"/>
                <w:szCs w:val="21"/>
              </w:rPr>
              <w:t>合</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u w:val="single"/>
              </w:rPr>
              <w:t xml:space="preserve"> GB/T 19022-2003标准的</w:t>
            </w:r>
            <w:r>
              <w:rPr>
                <w:rFonts w:hint="eastAsia" w:ascii="宋体" w:hAnsi="宋体" w:cs="宋体"/>
                <w:color w:val="auto"/>
                <w:kern w:val="0"/>
                <w:szCs w:val="21"/>
                <w:u w:val="single"/>
              </w:rPr>
              <w:t>6.</w:t>
            </w:r>
            <w:r>
              <w:rPr>
                <w:rFonts w:hint="eastAsia" w:ascii="宋体" w:hAnsi="宋体" w:cs="宋体"/>
                <w:color w:val="auto"/>
                <w:kern w:val="0"/>
                <w:szCs w:val="21"/>
                <w:u w:val="single"/>
                <w:lang w:val="en-US" w:eastAsia="zh-CN"/>
              </w:rPr>
              <w:t>4</w:t>
            </w:r>
            <w:r>
              <w:rPr>
                <w:rFonts w:hint="eastAsia" w:ascii="宋体" w:hAnsi="宋体" w:cs="宋体"/>
                <w:color w:val="auto"/>
                <w:kern w:val="0"/>
                <w:szCs w:val="21"/>
                <w:u w:val="single"/>
              </w:rPr>
              <w:t>条款</w:t>
            </w:r>
            <w:r>
              <w:rPr>
                <w:rFonts w:hint="eastAsia" w:ascii="宋体" w:hAnsi="宋体" w:cs="宋体"/>
                <w:color w:val="auto"/>
                <w:kern w:val="0"/>
                <w:szCs w:val="21"/>
                <w:u w:val="single"/>
                <w:lang w:val="en-US" w:eastAsia="zh-CN"/>
              </w:rPr>
              <w:t xml:space="preserve"> 外部供方</w:t>
            </w:r>
            <w:r>
              <w:rPr>
                <w:rFonts w:hint="eastAsia" w:ascii="宋体" w:hAnsi="宋体" w:cs="宋体"/>
                <w:kern w:val="0"/>
                <w:szCs w:val="21"/>
                <w:u w:val="single"/>
              </w:rPr>
              <w:t xml:space="preserve">  </w:t>
            </w:r>
          </w:p>
          <w:p>
            <w:pPr>
              <w:widowControl/>
              <w:spacing w:line="480" w:lineRule="auto"/>
              <w:jc w:val="left"/>
              <w:rPr>
                <w:rFonts w:ascii="宋体" w:hAnsi="宋体" w:cs="宋体"/>
                <w:kern w:val="0"/>
                <w:szCs w:val="21"/>
              </w:rPr>
            </w:pPr>
            <w:r>
              <w:rPr>
                <w:rFonts w:ascii="宋体" w:hAnsi="宋体" w:cs="宋体"/>
                <w:kern w:val="0"/>
                <w:szCs w:val="21"/>
              </w:rPr>
              <w:t>不符合程度：主要不符合</w:t>
            </w:r>
            <w:r>
              <w:rPr>
                <w:rFonts w:hint="eastAsia" w:ascii="宋体" w:hAnsi="宋体" w:cs="宋体"/>
                <w:kern w:val="0"/>
                <w:szCs w:val="21"/>
                <w:u w:val="single"/>
              </w:rPr>
              <w:t xml:space="preserve">     </w:t>
            </w:r>
            <w:r>
              <w:rPr>
                <w:rFonts w:ascii="宋体" w:hAnsi="宋体" w:cs="宋体"/>
                <w:kern w:val="0"/>
                <w:szCs w:val="21"/>
              </w:rPr>
              <w:t>；次要不符合</w:t>
            </w:r>
            <w:r>
              <w:rPr>
                <w:rFonts w:hint="eastAsia" w:ascii="宋体" w:hAnsi="宋体" w:cs="宋体"/>
                <w:kern w:val="0"/>
                <w:szCs w:val="21"/>
                <w:u w:val="single"/>
              </w:rPr>
              <w:t xml:space="preserve">  √   </w:t>
            </w:r>
            <w:r>
              <w:rPr>
                <w:rFonts w:ascii="宋体" w:hAnsi="宋体" w:cs="宋体"/>
                <w:kern w:val="0"/>
                <w:szCs w:val="21"/>
              </w:rPr>
              <w:t>；</w:t>
            </w:r>
          </w:p>
          <w:p>
            <w:pPr>
              <w:widowControl/>
              <w:spacing w:line="360" w:lineRule="auto"/>
              <w:jc w:val="left"/>
              <w:rPr>
                <w:rFonts w:hint="default" w:ascii="宋体" w:hAnsi="宋体" w:cs="宋体"/>
                <w:kern w:val="0"/>
                <w:szCs w:val="21"/>
                <w:lang w:val="en-US"/>
              </w:rPr>
            </w:pPr>
            <w:r>
              <w:rPr>
                <w:rFonts w:ascii="宋体" w:hAnsi="宋体" w:cs="宋体"/>
                <w:kern w:val="0"/>
                <w:szCs w:val="21"/>
              </w:rPr>
              <w:t xml:space="preserve">审核员(签名) </w:t>
            </w:r>
            <w:r>
              <w:rPr>
                <w:rFonts w:ascii="宋体" w:hAnsi="宋体" w:cs="宋体"/>
                <w:kern w:val="0"/>
                <w:szCs w:val="21"/>
                <w:u w:val="single"/>
              </w:rPr>
              <w:t xml:space="preserve">               </w:t>
            </w:r>
            <w:r>
              <w:rPr>
                <w:rFonts w:ascii="宋体" w:hAnsi="宋体" w:cs="宋体"/>
                <w:kern w:val="0"/>
                <w:szCs w:val="21"/>
              </w:rPr>
              <w:t xml:space="preserve"> 陪同人员(签名)</w:t>
            </w:r>
            <w:r>
              <w:rPr>
                <w:rFonts w:ascii="宋体" w:hAnsi="宋体" w:cs="宋体"/>
                <w:kern w:val="0"/>
                <w:szCs w:val="21"/>
                <w:u w:val="single"/>
              </w:rPr>
              <w:t xml:space="preserve">  </w:t>
            </w:r>
            <w:r>
              <w:rPr>
                <w:rFonts w:hint="eastAsia" w:ascii="宋体" w:hAnsi="宋体" w:cs="宋体"/>
                <w:kern w:val="0"/>
                <w:szCs w:val="21"/>
                <w:lang w:val="en-US" w:eastAsia="zh-CN"/>
              </w:rPr>
              <w:t>陈琴端</w:t>
            </w:r>
          </w:p>
          <w:p>
            <w:pPr>
              <w:widowControl/>
              <w:spacing w:line="360" w:lineRule="auto"/>
              <w:jc w:val="left"/>
              <w:rPr>
                <w:rFonts w:ascii="宋体" w:hAnsi="宋体" w:cs="宋体"/>
                <w:kern w:val="0"/>
                <w:szCs w:val="21"/>
              </w:rPr>
            </w:pPr>
            <w:r>
              <w:rPr>
                <w:rFonts w:hint="eastAsia" w:ascii="宋体" w:hAnsi="宋体" w:cs="宋体"/>
                <w:kern w:val="0"/>
                <w:szCs w:val="21"/>
              </w:rPr>
              <w:t>企业职能部门</w:t>
            </w:r>
            <w:r>
              <w:rPr>
                <w:rFonts w:ascii="宋体" w:hAnsi="宋体" w:cs="宋体"/>
                <w:kern w:val="0"/>
                <w:szCs w:val="21"/>
              </w:rPr>
              <w:t>代表（签名）_________</w:t>
            </w:r>
          </w:p>
          <w:p>
            <w:pPr>
              <w:widowControl/>
              <w:spacing w:line="360" w:lineRule="auto"/>
              <w:ind w:firstLine="5439" w:firstLineChars="2590"/>
              <w:jc w:val="left"/>
              <w:rPr>
                <w:rFonts w:ascii="宋体" w:hAnsi="宋体" w:cs="宋体"/>
                <w:kern w:val="0"/>
                <w:szCs w:val="21"/>
              </w:rPr>
            </w:pPr>
            <w:r>
              <w:rPr>
                <w:rFonts w:ascii="宋体" w:hAnsi="宋体" w:cs="宋体"/>
                <w:kern w:val="0"/>
                <w:szCs w:val="21"/>
              </w:rPr>
              <w:t>日期: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预计完成日期:__________</w:t>
            </w:r>
          </w:p>
          <w:p>
            <w:pPr>
              <w:widowControl/>
              <w:spacing w:line="360" w:lineRule="auto"/>
              <w:jc w:val="left"/>
              <w:rPr>
                <w:rFonts w:ascii="宋体" w:hAnsi="宋体" w:cs="宋体"/>
                <w:kern w:val="0"/>
                <w:szCs w:val="21"/>
              </w:rPr>
            </w:pPr>
            <w:r>
              <w:rPr>
                <w:rFonts w:ascii="宋体" w:hAnsi="宋体" w:cs="宋体"/>
                <w:kern w:val="0"/>
                <w:szCs w:val="21"/>
              </w:rPr>
              <w:t>纠正措施实施</w:t>
            </w:r>
            <w:r>
              <w:rPr>
                <w:rFonts w:hint="eastAsia" w:ascii="宋体" w:hAnsi="宋体" w:cs="宋体"/>
                <w:kern w:val="0"/>
                <w:szCs w:val="21"/>
              </w:rPr>
              <w:t>部门</w:t>
            </w:r>
            <w:r>
              <w:rPr>
                <w:rFonts w:ascii="宋体" w:hAnsi="宋体" w:cs="宋体"/>
                <w:kern w:val="0"/>
                <w:szCs w:val="21"/>
              </w:rPr>
              <w:t>代表签名:</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审核员确认签名: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日期:</w:t>
            </w:r>
          </w:p>
        </w:tc>
      </w:tr>
    </w:tbl>
    <w:p>
      <w:pPr>
        <w:wordWrap w:val="0"/>
        <w:jc w:val="right"/>
      </w:pPr>
      <w:r>
        <w:rPr>
          <w:rFonts w:hint="eastAsia"/>
        </w:rPr>
        <w:t xml:space="preserve"> </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mc:AlternateContent>
        <mc:Choice Requires="wps">
          <w:drawing>
            <wp:anchor distT="0" distB="0" distL="114300" distR="114300" simplePos="0" relativeHeight="251659264" behindDoc="0" locked="0" layoutInCell="1" allowOverlap="1">
              <wp:simplePos x="0" y="0"/>
              <wp:positionH relativeFrom="column">
                <wp:posOffset>3679190</wp:posOffset>
              </wp:positionH>
              <wp:positionV relativeFrom="paragraph">
                <wp:posOffset>179070</wp:posOffset>
              </wp:positionV>
              <wp:extent cx="2208530" cy="261620"/>
              <wp:effectExtent l="0" t="0" r="1270" b="5080"/>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11</w:t>
                          </w:r>
                          <w:r>
                            <w:rPr>
                              <w:rFonts w:ascii="Times New Roman" w:hAnsi="Times New Roman"/>
                              <w:sz w:val="22"/>
                            </w:rPr>
                            <w:t>不符合项报告</w:t>
                          </w:r>
                          <w:r>
                            <w:rPr>
                              <w:rFonts w:hint="eastAsia" w:ascii="Times New Roman" w:hAnsi="Times New Roman"/>
                              <w:sz w:val="22"/>
                            </w:rPr>
                            <w:t>（06版）</w:t>
                          </w:r>
                        </w:p>
                      </w:txbxContent>
                    </wps:txbx>
                    <wps:bodyPr upright="1"/>
                  </wps:wsp>
                </a:graphicData>
              </a:graphic>
            </wp:anchor>
          </w:drawing>
        </mc:Choice>
        <mc:Fallback>
          <w:pict>
            <v:shape id="文本框 1" o:spid="_x0000_s1026" o:spt="202" type="#_x0000_t202" style="position:absolute;left:0pt;margin-left:289.7pt;margin-top:14.1pt;height:20.6pt;width:173.9pt;z-index:251659264;mso-width-relative:page;mso-height-relative:page;" fillcolor="#FFFFFF" filled="t" stroked="f" coordsize="21600,21600" o:gfxdata="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H84&#10;BNcAAAAJAQAADwAAAAAAAAABACAAAAAiAAAAZHJzL2Rvd25yZXYueG1sUEsBAhQAFAAAAAgAh07i&#10;QHLGih+xAQAAQAMAAA4AAAAAAAAAAQAgAAAAJgEAAGRycy9lMm9Eb2MueG1sUEsFBgAAAAAGAAYA&#10;WQEAAEkFAAAAAA==&#10;">
              <v:fill on="t" focussize="0,0"/>
              <v:stroke on="f"/>
              <v:imagedata o:title=""/>
              <o:lock v:ext="edit" aspectratio="f"/>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11</w:t>
                    </w:r>
                    <w:r>
                      <w:rPr>
                        <w:rFonts w:ascii="Times New Roman" w:hAnsi="Times New Roman"/>
                        <w:sz w:val="22"/>
                      </w:rPr>
                      <w:t>不符合项报告</w:t>
                    </w:r>
                    <w:r>
                      <w:rPr>
                        <w:rFonts w:hint="eastAsia" w:ascii="Times New Roman" w:hAnsi="Times New Roman"/>
                        <w:sz w:val="22"/>
                      </w:rPr>
                      <w:t>（06版）</w:t>
                    </w:r>
                  </w:p>
                </w:txbxContent>
              </v:textbox>
            </v:shape>
          </w:pict>
        </mc:Fallback>
      </mc:AlternateContent>
    </w:r>
    <w:r>
      <w:rPr>
        <w:rStyle w:val="11"/>
        <w:rFonts w:hint="default" w:ascii="Times New Roman" w:hAnsi="Times New Roman" w:cs="Times New Roman"/>
        <w:szCs w:val="21"/>
      </w:rPr>
      <w:t>北京国标联合认证有限公司</w:t>
    </w:r>
  </w:p>
  <w:p>
    <w:pPr>
      <w:pStyle w:val="4"/>
      <w:pBdr>
        <w:bottom w:val="none" w:color="auto" w:sz="0" w:space="1"/>
      </w:pBdr>
      <w:spacing w:line="320" w:lineRule="exact"/>
      <w:ind w:firstLine="672" w:firstLineChars="400"/>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0</wp:posOffset>
              </wp:positionV>
              <wp:extent cx="5819140" cy="635"/>
              <wp:effectExtent l="0" t="0" r="0" b="0"/>
              <wp:wrapNone/>
              <wp:docPr id="3" name="直线 3"/>
              <wp:cNvGraphicFramePr/>
              <a:graphic xmlns:a="http://schemas.openxmlformats.org/drawingml/2006/main">
                <a:graphicData uri="http://schemas.microsoft.com/office/word/2010/wordprocessingShape">
                  <wps:wsp>
                    <wps:cNvCnPr/>
                    <wps:spPr>
                      <a:xfrm>
                        <a:off x="0" y="0"/>
                        <a:ext cx="58191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45pt;margin-top:0pt;height:0.05pt;width:458.2pt;z-index:251660288;mso-width-relative:page;mso-height-relative:page;" filled="f" stroked="t" coordsize="21600,21600" o:gfxdata="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3F/09IAAAADAQAADwAAAAAAAAABACAAAAAiAAAA&#10;ZHJzL2Rvd25yZXYueG1sUEsBAhQAFAAAAAgAh07iQIoFLY3UAQAAnQMAAA4AAAAAAAAAAQAgAAAA&#10;IQEAAGRycy9lMm9Eb2MueG1sUEsFBgAAAAAGAAYAWQEAAGcFAAAAAA==&#10;">
              <v:fill on="f" focussize="0,0"/>
              <v:stroke color="#000000" joinstyle="round"/>
              <v:imagedata o:title=""/>
              <o:lock v:ext="edit" aspectratio="f"/>
            </v:line>
          </w:pict>
        </mc:Fallback>
      </mc:AlternateConten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87"/>
    <w:rsid w:val="00026A75"/>
    <w:rsid w:val="00162E85"/>
    <w:rsid w:val="00165EBC"/>
    <w:rsid w:val="0017218E"/>
    <w:rsid w:val="001B7EF2"/>
    <w:rsid w:val="001C4BA0"/>
    <w:rsid w:val="001D4052"/>
    <w:rsid w:val="00213297"/>
    <w:rsid w:val="002A66BE"/>
    <w:rsid w:val="002D32D5"/>
    <w:rsid w:val="00350AFD"/>
    <w:rsid w:val="00430A63"/>
    <w:rsid w:val="00474A2F"/>
    <w:rsid w:val="00496F68"/>
    <w:rsid w:val="004D40CA"/>
    <w:rsid w:val="005301AD"/>
    <w:rsid w:val="00595621"/>
    <w:rsid w:val="005C0013"/>
    <w:rsid w:val="005C1D41"/>
    <w:rsid w:val="00675295"/>
    <w:rsid w:val="006779F9"/>
    <w:rsid w:val="00692517"/>
    <w:rsid w:val="006B4687"/>
    <w:rsid w:val="007157DC"/>
    <w:rsid w:val="007C669C"/>
    <w:rsid w:val="00805A11"/>
    <w:rsid w:val="00893359"/>
    <w:rsid w:val="008B4143"/>
    <w:rsid w:val="008E4B15"/>
    <w:rsid w:val="0099638E"/>
    <w:rsid w:val="009A72DB"/>
    <w:rsid w:val="009C6468"/>
    <w:rsid w:val="009E059D"/>
    <w:rsid w:val="00A03DB2"/>
    <w:rsid w:val="00A12140"/>
    <w:rsid w:val="00A318D3"/>
    <w:rsid w:val="00A44197"/>
    <w:rsid w:val="00A45A39"/>
    <w:rsid w:val="00A578FC"/>
    <w:rsid w:val="00A631FC"/>
    <w:rsid w:val="00A9200F"/>
    <w:rsid w:val="00A95E72"/>
    <w:rsid w:val="00AD0B28"/>
    <w:rsid w:val="00AE38F2"/>
    <w:rsid w:val="00AF77A1"/>
    <w:rsid w:val="00B60B95"/>
    <w:rsid w:val="00C06086"/>
    <w:rsid w:val="00C31564"/>
    <w:rsid w:val="00C43218"/>
    <w:rsid w:val="00C83B26"/>
    <w:rsid w:val="00CD6AF6"/>
    <w:rsid w:val="00CF5723"/>
    <w:rsid w:val="00D07D69"/>
    <w:rsid w:val="00D650D3"/>
    <w:rsid w:val="00E06CC9"/>
    <w:rsid w:val="00E17722"/>
    <w:rsid w:val="00E21F4A"/>
    <w:rsid w:val="00E32B53"/>
    <w:rsid w:val="00E93B5C"/>
    <w:rsid w:val="00EA5217"/>
    <w:rsid w:val="00F272C6"/>
    <w:rsid w:val="00F41E71"/>
    <w:rsid w:val="00F4589A"/>
    <w:rsid w:val="00F4631A"/>
    <w:rsid w:val="00F54A6A"/>
    <w:rsid w:val="00F746BB"/>
    <w:rsid w:val="024F1A9D"/>
    <w:rsid w:val="04557088"/>
    <w:rsid w:val="05E47FB4"/>
    <w:rsid w:val="134D21A9"/>
    <w:rsid w:val="15832D24"/>
    <w:rsid w:val="170D35E0"/>
    <w:rsid w:val="17304FC5"/>
    <w:rsid w:val="1C267AA2"/>
    <w:rsid w:val="1D721AF6"/>
    <w:rsid w:val="1D785558"/>
    <w:rsid w:val="220B3C15"/>
    <w:rsid w:val="27450D72"/>
    <w:rsid w:val="298A673D"/>
    <w:rsid w:val="2C6E3ABF"/>
    <w:rsid w:val="386A7C4D"/>
    <w:rsid w:val="39814263"/>
    <w:rsid w:val="3B7200F0"/>
    <w:rsid w:val="3CFE7194"/>
    <w:rsid w:val="3DAD4B86"/>
    <w:rsid w:val="408C5BC4"/>
    <w:rsid w:val="4287704C"/>
    <w:rsid w:val="45B124AD"/>
    <w:rsid w:val="46BA0CAA"/>
    <w:rsid w:val="48BF1FEF"/>
    <w:rsid w:val="49293725"/>
    <w:rsid w:val="4D875396"/>
    <w:rsid w:val="528549AA"/>
    <w:rsid w:val="53225035"/>
    <w:rsid w:val="541112DC"/>
    <w:rsid w:val="5C671768"/>
    <w:rsid w:val="6143380C"/>
    <w:rsid w:val="63577CFC"/>
    <w:rsid w:val="649744ED"/>
    <w:rsid w:val="75A741D1"/>
    <w:rsid w:val="77BF1159"/>
    <w:rsid w:val="7F8B3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字符"/>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414</Characters>
  <Lines>3</Lines>
  <Paragraphs>1</Paragraphs>
  <TotalTime>28</TotalTime>
  <ScaleCrop>false</ScaleCrop>
  <LinksUpToDate>false</LinksUpToDate>
  <CharactersWithSpaces>485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A樱洁</cp:lastModifiedBy>
  <cp:lastPrinted>2018-08-21T01:14:00Z</cp:lastPrinted>
  <dcterms:modified xsi:type="dcterms:W3CDTF">2020-09-19T08:42:48Z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