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color w:val="000000"/>
          <w:sz w:val="24"/>
          <w:szCs w:val="24"/>
        </w:rPr>
        <w:t>0494-2020-EO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河北斯力恩索具有限公司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E:17.12.03,29.12.00</w:t>
            </w:r>
          </w:p>
          <w:p>
            <w:pPr>
              <w:spacing w:line="240" w:lineRule="exact"/>
              <w:jc w:val="center"/>
              <w:rPr>
                <w:b/>
                <w:color w:val="000000"/>
                <w:sz w:val="20"/>
                <w:szCs w:val="20"/>
              </w:rPr>
            </w:pPr>
            <w:r>
              <w:rPr>
                <w:b/>
                <w:color w:val="000000"/>
                <w:sz w:val="20"/>
                <w:szCs w:val="20"/>
              </w:rPr>
              <w:t>O:17.12.03,29.12.00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张鹏</w:t>
            </w:r>
          </w:p>
          <w:p>
            <w:pPr>
              <w:spacing w:line="240" w:lineRule="exact"/>
              <w:jc w:val="center"/>
              <w:rPr>
                <w:rFonts w:hint="eastAsia" w:eastAsia="宋体"/>
                <w:b/>
                <w:color w:val="000000"/>
                <w:sz w:val="20"/>
                <w:szCs w:val="20"/>
                <w:lang w:eastAsia="zh-CN"/>
              </w:rPr>
            </w:pPr>
            <w:r>
              <w:rPr>
                <w:rFonts w:hint="eastAsia"/>
                <w:b/>
                <w:color w:val="000000"/>
                <w:sz w:val="20"/>
                <w:szCs w:val="20"/>
                <w:lang w:eastAsia="zh-CN"/>
              </w:rPr>
              <w:t>（</w:t>
            </w:r>
            <w:r>
              <w:rPr>
                <w:rFonts w:hint="eastAsia"/>
                <w:b/>
                <w:color w:val="000000"/>
                <w:sz w:val="20"/>
                <w:szCs w:val="20"/>
                <w:lang w:val="en-US" w:eastAsia="zh-CN"/>
              </w:rPr>
              <w:t>远程</w:t>
            </w:r>
            <w:r>
              <w:rPr>
                <w:rFonts w:hint="eastAsia"/>
                <w:b/>
                <w:color w:val="000000"/>
                <w:sz w:val="20"/>
                <w:szCs w:val="20"/>
                <w:lang w:eastAsia="zh-CN"/>
              </w:rPr>
              <w:t>）</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45" w:firstLineChars="100"/>
        <w:rPr>
          <w:rFonts w:ascii="宋体"/>
          <w:b/>
          <w:color w:val="000000"/>
          <w:sz w:val="20"/>
          <w:szCs w:val="20"/>
        </w:rPr>
      </w:pPr>
      <w:r>
        <w:rPr>
          <w:rFonts w:hint="eastAsia" w:ascii="宋体" w:hAnsi="宋体"/>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b/>
          <w:color w:val="000000"/>
          <w:spacing w:val="-8"/>
          <w:sz w:val="26"/>
          <w:szCs w:val="26"/>
        </w:rPr>
        <w:t>三、审核准则</w:t>
      </w:r>
    </w:p>
    <w:p>
      <w:pPr>
        <w:spacing w:line="300" w:lineRule="auto"/>
        <w:ind w:left="420" w:leftChars="200"/>
        <w:rPr>
          <w:rFonts w:hint="eastAsia" w:ascii="宋体" w:hAnsi="宋体"/>
          <w:b/>
          <w:color w:val="000000"/>
          <w:sz w:val="20"/>
          <w:szCs w:val="20"/>
          <w:lang w:val="de-DE"/>
        </w:rPr>
      </w:pP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hint="eastAsia" w:ascii="宋体" w:hAns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 xml:space="preserve">20 </w:t>
      </w:r>
      <w:r>
        <w:rPr>
          <w:rFonts w:hint="eastAsia" w:ascii="宋体" w:hAnsi="宋体"/>
          <w:b/>
          <w:color w:val="000000"/>
          <w:sz w:val="20"/>
          <w:szCs w:val="20"/>
          <w:lang w:val="de-DE"/>
        </w:rPr>
        <w:t xml:space="preserve">idt ISO </w:t>
      </w:r>
      <w:r>
        <w:rPr>
          <w:rFonts w:hint="eastAsia" w:ascii="宋体" w:hAnsi="宋体"/>
          <w:b/>
          <w:color w:val="000000"/>
          <w:sz w:val="20"/>
          <w:szCs w:val="20"/>
          <w:lang w:val="en-US" w:eastAsia="zh-CN"/>
        </w:rPr>
        <w:t>45</w:t>
      </w:r>
      <w:r>
        <w:rPr>
          <w:rFonts w:hint="eastAsia" w:ascii="宋体" w:hAnsi="宋体"/>
          <w:b/>
          <w:color w:val="000000"/>
          <w:sz w:val="20"/>
          <w:szCs w:val="20"/>
          <w:lang w:val="de-DE"/>
        </w:rPr>
        <w:t>001:201</w:t>
      </w:r>
      <w:r>
        <w:rPr>
          <w:rFonts w:hint="eastAsia" w:ascii="宋体" w:hAnsi="宋体"/>
          <w:b/>
          <w:color w:val="000000"/>
          <w:sz w:val="20"/>
          <w:szCs w:val="20"/>
          <w:lang w:val="en-US" w:eastAsia="zh-CN"/>
        </w:rPr>
        <w:t>8</w:t>
      </w:r>
      <w:r>
        <w:rPr>
          <w:rFonts w:hint="eastAsia" w:ascii="宋体" w:hAnsi="宋体"/>
          <w:b/>
          <w:color w:val="000000"/>
          <w:sz w:val="20"/>
          <w:szCs w:val="20"/>
          <w:lang w:val="de-DE"/>
        </w:rPr>
        <w:t>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7" w:name="组织名称Add2"/>
            <w:r>
              <w:rPr>
                <w:rFonts w:ascii="宋体"/>
                <w:b/>
                <w:color w:val="000000"/>
                <w:sz w:val="20"/>
                <w:szCs w:val="20"/>
              </w:rPr>
              <w:t>河北斯力恩索具有限公司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color w:val="000000"/>
                <w:sz w:val="20"/>
                <w:szCs w:val="20"/>
              </w:rPr>
            </w:pPr>
            <w:bookmarkStart w:id="8" w:name="注册地址"/>
            <w:r>
              <w:rPr>
                <w:rFonts w:ascii="宋体"/>
                <w:b/>
                <w:color w:val="000000"/>
                <w:sz w:val="20"/>
                <w:szCs w:val="20"/>
              </w:rPr>
              <w:t>保定市徐水区大王店镇北龙山村</w:t>
            </w:r>
            <w:bookmarkEnd w:id="8"/>
          </w:p>
        </w:tc>
        <w:tc>
          <w:tcPr>
            <w:tcW w:w="1242"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1558" w:type="dxa"/>
            <w:vAlign w:val="center"/>
          </w:tcPr>
          <w:p>
            <w:pPr>
              <w:spacing w:line="280" w:lineRule="exact"/>
              <w:jc w:val="both"/>
              <w:rPr>
                <w:rFonts w:ascii="宋体"/>
                <w:b/>
                <w:color w:val="000000"/>
                <w:sz w:val="20"/>
                <w:szCs w:val="20"/>
              </w:rPr>
            </w:pPr>
            <w:bookmarkStart w:id="9" w:name="注册邮编"/>
            <w:r>
              <w:rPr>
                <w:rFonts w:ascii="宋体"/>
                <w:b/>
                <w:color w:val="000000"/>
                <w:sz w:val="20"/>
                <w:szCs w:val="20"/>
              </w:rPr>
              <w:t>072550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lang w:val="en-US" w:eastAsia="zh-CN"/>
              </w:rPr>
              <w:t>经营</w:t>
            </w:r>
            <w:r>
              <w:rPr>
                <w:rFonts w:hint="eastAsia" w:ascii="宋体" w:hAnsi="宋体"/>
                <w:b/>
                <w:color w:val="000000"/>
                <w:sz w:val="20"/>
                <w:szCs w:val="20"/>
              </w:rPr>
              <w:t>地址</w:t>
            </w:r>
          </w:p>
        </w:tc>
        <w:tc>
          <w:tcPr>
            <w:tcW w:w="4692" w:type="dxa"/>
            <w:gridSpan w:val="3"/>
            <w:vAlign w:val="center"/>
          </w:tcPr>
          <w:p>
            <w:pPr>
              <w:spacing w:line="280" w:lineRule="exact"/>
              <w:jc w:val="both"/>
              <w:rPr>
                <w:rFonts w:ascii="宋体"/>
                <w:b/>
                <w:color w:val="000000"/>
                <w:sz w:val="20"/>
                <w:szCs w:val="20"/>
              </w:rPr>
            </w:pPr>
            <w:bookmarkStart w:id="10" w:name="生产地址Add1"/>
            <w:r>
              <w:rPr>
                <w:rFonts w:ascii="宋体"/>
                <w:b/>
                <w:color w:val="000000"/>
                <w:sz w:val="20"/>
                <w:szCs w:val="20"/>
              </w:rPr>
              <w:t>保定市徐水区大王店镇北龙山村</w:t>
            </w:r>
            <w:bookmarkEnd w:id="10"/>
          </w:p>
        </w:tc>
        <w:tc>
          <w:tcPr>
            <w:tcW w:w="1242" w:type="dxa"/>
            <w:vMerge w:val="continue"/>
            <w:vAlign w:val="center"/>
          </w:tcPr>
          <w:p>
            <w:pPr>
              <w:spacing w:line="280" w:lineRule="exact"/>
              <w:jc w:val="both"/>
              <w:rPr>
                <w:rFonts w:ascii="宋体"/>
                <w:b/>
                <w:color w:val="000000"/>
                <w:sz w:val="20"/>
                <w:szCs w:val="20"/>
              </w:rPr>
            </w:pPr>
          </w:p>
        </w:tc>
        <w:tc>
          <w:tcPr>
            <w:tcW w:w="1558" w:type="dxa"/>
            <w:vAlign w:val="center"/>
          </w:tcPr>
          <w:p>
            <w:pPr>
              <w:spacing w:line="280" w:lineRule="exact"/>
              <w:jc w:val="both"/>
              <w:rPr>
                <w:rFonts w:ascii="宋体"/>
                <w:b/>
                <w:color w:val="000000"/>
                <w:sz w:val="20"/>
                <w:szCs w:val="20"/>
              </w:rPr>
            </w:pPr>
            <w:bookmarkStart w:id="11" w:name="生产邮编Add1"/>
            <w:r>
              <w:rPr>
                <w:rFonts w:ascii="宋体"/>
                <w:b/>
                <w:color w:val="000000"/>
                <w:sz w:val="20"/>
                <w:szCs w:val="20"/>
              </w:rPr>
              <w:t>072550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2" w:name="联系人Add1"/>
            <w:r>
              <w:rPr>
                <w:rFonts w:ascii="宋体"/>
                <w:b/>
                <w:color w:val="000000"/>
                <w:sz w:val="20"/>
                <w:szCs w:val="20"/>
              </w:rPr>
              <w:t>王顺</w:t>
            </w:r>
            <w:bookmarkEnd w:id="12"/>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both"/>
              <w:rPr>
                <w:rFonts w:ascii="宋体"/>
                <w:b/>
                <w:color w:val="000000"/>
                <w:sz w:val="20"/>
                <w:szCs w:val="20"/>
              </w:rPr>
            </w:pPr>
            <w:bookmarkStart w:id="13" w:name="联系人电话Add1"/>
            <w:r>
              <w:rPr>
                <w:rFonts w:ascii="宋体"/>
                <w:b/>
                <w:color w:val="000000"/>
                <w:sz w:val="20"/>
                <w:szCs w:val="20"/>
              </w:rPr>
              <w:t>13315246783</w:t>
            </w:r>
            <w:bookmarkEnd w:id="13"/>
          </w:p>
        </w:tc>
        <w:tc>
          <w:tcPr>
            <w:tcW w:w="1242"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1558" w:type="dxa"/>
            <w:vAlign w:val="center"/>
          </w:tcPr>
          <w:p>
            <w:pPr>
              <w:spacing w:line="280" w:lineRule="exact"/>
              <w:jc w:val="both"/>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5" w:name="法人"/>
            <w:r>
              <w:rPr>
                <w:rFonts w:ascii="宋体"/>
                <w:b/>
                <w:color w:val="000000"/>
                <w:sz w:val="20"/>
                <w:szCs w:val="20"/>
              </w:rPr>
              <w:t>陈喜</w:t>
            </w:r>
            <w:bookmarkEnd w:id="15"/>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ascii="宋体"/>
                <w:b/>
                <w:color w:val="000000"/>
                <w:sz w:val="20"/>
                <w:szCs w:val="20"/>
              </w:rPr>
            </w:pPr>
            <w:bookmarkStart w:id="16" w:name="管理者代表"/>
            <w:r>
              <w:rPr>
                <w:rFonts w:ascii="宋体"/>
                <w:b/>
                <w:color w:val="000000"/>
                <w:sz w:val="20"/>
                <w:szCs w:val="20"/>
              </w:rPr>
              <w:t>王顺</w:t>
            </w:r>
            <w:bookmarkEnd w:id="16"/>
          </w:p>
        </w:tc>
        <w:tc>
          <w:tcPr>
            <w:tcW w:w="1242" w:type="dxa"/>
            <w:vAlign w:val="center"/>
          </w:tcPr>
          <w:p>
            <w:pPr>
              <w:jc w:val="both"/>
              <w:rPr>
                <w:rFonts w:ascii="宋体"/>
                <w:b/>
                <w:color w:val="000000"/>
                <w:sz w:val="20"/>
                <w:szCs w:val="20"/>
              </w:rPr>
            </w:pPr>
            <w:r>
              <w:rPr>
                <w:rFonts w:hint="eastAsia" w:ascii="宋体"/>
                <w:b/>
                <w:color w:val="000000"/>
                <w:sz w:val="20"/>
                <w:szCs w:val="20"/>
              </w:rPr>
              <w:t>邮箱</w:t>
            </w:r>
          </w:p>
        </w:tc>
        <w:tc>
          <w:tcPr>
            <w:tcW w:w="1558" w:type="dxa"/>
            <w:vAlign w:val="center"/>
          </w:tcPr>
          <w:p>
            <w:pPr>
              <w:jc w:val="both"/>
              <w:rPr>
                <w:rFonts w:ascii="宋体"/>
                <w:b/>
                <w:color w:val="000000"/>
                <w:sz w:val="20"/>
                <w:szCs w:val="20"/>
              </w:rPr>
            </w:pPr>
            <w:bookmarkStart w:id="17" w:name="联系人邮箱Add1"/>
            <w:bookmarkEnd w:id="17"/>
            <w:r>
              <w:rPr>
                <w:rFonts w:hint="eastAsia" w:ascii="宋体" w:hAnsi="宋体"/>
                <w:color w:val="auto"/>
                <w:sz w:val="21"/>
                <w:szCs w:val="21"/>
              </w:rPr>
              <w:t>3051231342@qq.com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8" w:name="审核范围"/>
            <w:r>
              <w:rPr>
                <w:rFonts w:ascii="宋体" w:hAnsi="宋体"/>
                <w:b/>
                <w:color w:val="000000"/>
                <w:sz w:val="20"/>
                <w:szCs w:val="20"/>
              </w:rPr>
              <w:t>E：吊装绳索具、钢丝绳缆、带的生产；索具机械、钢材、纺织品的销售所涉及的相关环境管理活动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O：吊装绳索具、钢丝绳缆、带的生产；索具机械、钢材、纺织品的销售所涉及的相关职业健康安全管理活动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9" w:name="专业代码"/>
            <w:r>
              <w:rPr>
                <w:rFonts w:ascii="宋体"/>
                <w:b/>
                <w:color w:val="000000"/>
                <w:sz w:val="20"/>
                <w:szCs w:val="20"/>
              </w:rPr>
              <w:t>E：17.12.03;18.02.02;29.12.00</w:t>
            </w:r>
          </w:p>
          <w:p>
            <w:pPr>
              <w:spacing w:line="280" w:lineRule="exact"/>
              <w:rPr>
                <w:rFonts w:ascii="宋体"/>
                <w:b/>
                <w:color w:val="000000"/>
                <w:sz w:val="20"/>
                <w:szCs w:val="20"/>
              </w:rPr>
            </w:pPr>
            <w:r>
              <w:rPr>
                <w:rFonts w:ascii="宋体"/>
                <w:b/>
                <w:color w:val="000000"/>
                <w:sz w:val="20"/>
                <w:szCs w:val="20"/>
              </w:rPr>
              <w:t>O：17.12.03;18.02.02;29.12.00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办公室、生产技术部、供销部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办公区域、生产车间、库房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snapToGrid w:val="0"/>
              <w:spacing w:line="280" w:lineRule="exact"/>
              <w:jc w:val="both"/>
              <w:rPr>
                <w:rFonts w:hint="eastAsia" w:ascii="Times New Roman" w:hAnsi="Times New Roman" w:cs="Times New Roman"/>
                <w:sz w:val="21"/>
                <w:szCs w:val="21"/>
              </w:rPr>
            </w:pPr>
            <w:r>
              <w:rPr>
                <w:rFonts w:hint="eastAsia" w:ascii="Times New Roman" w:hAnsi="Times New Roman" w:cs="Times New Roman"/>
                <w:sz w:val="21"/>
                <w:szCs w:val="21"/>
              </w:rPr>
              <w:t>吊装绳索具：</w:t>
            </w:r>
            <w:r>
              <w:rPr>
                <w:rFonts w:hint="eastAsia" w:ascii="Times New Roman" w:hAnsi="Times New Roman" w:cs="Times New Roman"/>
                <w:sz w:val="21"/>
                <w:szCs w:val="21"/>
                <w:lang w:val="en-US" w:eastAsia="zh-CN"/>
              </w:rPr>
              <w:t>编制—下料—（染色）—测量画线</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缝制</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修整</w:t>
            </w:r>
            <w:r>
              <w:rPr>
                <w:rFonts w:hint="eastAsia" w:ascii="Times New Roman" w:hAnsi="Times New Roman" w:cs="Times New Roman"/>
                <w:sz w:val="21"/>
                <w:szCs w:val="21"/>
              </w:rPr>
              <w:t>—检验—包装入库</w:t>
            </w:r>
          </w:p>
          <w:p>
            <w:pPr>
              <w:snapToGrid w:val="0"/>
              <w:spacing w:line="280" w:lineRule="exact"/>
              <w:jc w:val="both"/>
              <w:rPr>
                <w:rFonts w:hint="eastAsia" w:ascii="Times New Roman" w:hAnsi="Times New Roman" w:cs="Times New Roman"/>
                <w:sz w:val="21"/>
                <w:szCs w:val="21"/>
              </w:rPr>
            </w:pPr>
            <w:r>
              <w:rPr>
                <w:rFonts w:hint="eastAsia" w:ascii="Times New Roman" w:hAnsi="Times New Roman" w:cs="Times New Roman"/>
                <w:sz w:val="21"/>
                <w:szCs w:val="21"/>
                <w:lang w:eastAsia="zh-CN"/>
              </w:rPr>
              <w:t>钢丝绳缆、带</w:t>
            </w:r>
            <w:r>
              <w:rPr>
                <w:rFonts w:hint="eastAsia" w:ascii="Times New Roman" w:hAnsi="Times New Roman" w:cs="Times New Roman"/>
                <w:sz w:val="21"/>
                <w:szCs w:val="21"/>
              </w:rPr>
              <w:t>：下料—</w:t>
            </w:r>
            <w:r>
              <w:rPr>
                <w:rFonts w:hint="eastAsia" w:ascii="Times New Roman" w:hAnsi="Times New Roman" w:cs="Times New Roman"/>
                <w:sz w:val="21"/>
                <w:szCs w:val="21"/>
                <w:lang w:val="en-US" w:eastAsia="zh-CN"/>
              </w:rPr>
              <w:t>测量画线</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插编/压制</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修整</w:t>
            </w:r>
            <w:r>
              <w:rPr>
                <w:rFonts w:hint="eastAsia" w:ascii="Times New Roman" w:hAnsi="Times New Roman" w:cs="Times New Roman"/>
                <w:sz w:val="21"/>
                <w:szCs w:val="21"/>
              </w:rPr>
              <w:t>—检验—包装入库</w:t>
            </w:r>
          </w:p>
          <w:p>
            <w:pPr>
              <w:tabs>
                <w:tab w:val="left" w:pos="360"/>
              </w:tabs>
              <w:rPr>
                <w:rFonts w:ascii="宋体"/>
                <w:b/>
                <w:color w:val="000000"/>
                <w:sz w:val="20"/>
                <w:szCs w:val="20"/>
              </w:rPr>
            </w:pPr>
            <w:r>
              <w:rPr>
                <w:rFonts w:hint="eastAsia" w:ascii="Times New Roman" w:hAnsi="Times New Roman" w:cs="Times New Roman"/>
                <w:sz w:val="21"/>
                <w:szCs w:val="21"/>
                <w:lang w:eastAsia="zh-CN"/>
              </w:rPr>
              <w:t>索具机械、钢材、纺织品的销售</w:t>
            </w:r>
            <w:r>
              <w:rPr>
                <w:rFonts w:hint="eastAsia" w:ascii="Times New Roman" w:hAnsi="Times New Roman" w:cs="Times New Roman"/>
                <w:sz w:val="21"/>
                <w:szCs w:val="21"/>
              </w:rPr>
              <w:t>：确定顾客需求—业务洽谈—服务要求评审—签订合同—组织货源—产品交付—结算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napToGrid w:val="0"/>
              <w:spacing w:line="360" w:lineRule="auto"/>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公司部门设置：</w:t>
            </w:r>
            <w:r>
              <w:rPr>
                <w:rFonts w:hint="eastAsia" w:ascii="Times New Roman" w:hAnsi="Times New Roman" w:cs="Times New Roman"/>
                <w:sz w:val="21"/>
                <w:szCs w:val="21"/>
                <w:lang w:val="en-US" w:eastAsia="zh-CN"/>
              </w:rPr>
              <w:t>管理层、办公室、生产技术部、供销部</w:t>
            </w:r>
          </w:p>
          <w:p>
            <w:pPr>
              <w:snapToGrid w:val="0"/>
              <w:spacing w:line="360" w:lineRule="auto"/>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管理体系推进部门：</w:t>
            </w:r>
            <w:r>
              <w:rPr>
                <w:rFonts w:hint="eastAsia" w:ascii="Times New Roman" w:hAnsi="Times New Roman" w:cs="Times New Roman"/>
                <w:sz w:val="21"/>
                <w:szCs w:val="21"/>
                <w:lang w:val="en-US" w:eastAsia="zh-CN"/>
              </w:rPr>
              <w:t>办公室</w:t>
            </w:r>
          </w:p>
          <w:p>
            <w:pPr>
              <w:snapToGrid w:val="0"/>
              <w:spacing w:line="360" w:lineRule="auto"/>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环境管理主管部门：</w:t>
            </w:r>
            <w:r>
              <w:rPr>
                <w:rFonts w:hint="eastAsia" w:ascii="Times New Roman" w:hAnsi="Times New Roman" w:cs="Times New Roman"/>
                <w:sz w:val="21"/>
                <w:szCs w:val="21"/>
                <w:lang w:val="en-US" w:eastAsia="zh-CN"/>
              </w:rPr>
              <w:t>办公室</w:t>
            </w:r>
          </w:p>
          <w:p>
            <w:pPr>
              <w:snapToGrid w:val="0"/>
              <w:spacing w:line="360" w:lineRule="auto"/>
              <w:jc w:val="both"/>
              <w:rPr>
                <w:rFonts w:ascii="宋体"/>
                <w:b/>
                <w:color w:val="000000"/>
                <w:sz w:val="20"/>
                <w:szCs w:val="20"/>
              </w:rPr>
            </w:pP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lang w:eastAsia="zh-CN"/>
              </w:rPr>
              <w:t>管理主管部门：</w:t>
            </w:r>
            <w:r>
              <w:rPr>
                <w:rFonts w:hint="eastAsia" w:ascii="Times New Roman" w:hAnsi="Times New Roman" w:cs="Times New Roman"/>
                <w:sz w:val="21"/>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保定市徐水区大王店镇北龙山村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vAlign w:val="center"/>
          </w:tcPr>
          <w:p>
            <w:pPr>
              <w:tabs>
                <w:tab w:val="left" w:pos="360"/>
              </w:tabs>
              <w:ind w:left="360" w:hanging="360"/>
              <w:jc w:val="both"/>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保定市徐水区大王店镇北龙山村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ascii="宋体"/>
          <w:b/>
          <w:color w:val="000000"/>
          <w:spacing w:val="-6"/>
          <w:sz w:val="22"/>
          <w:szCs w:val="22"/>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登记回执</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lang w:eastAsia="zh-CN"/>
              </w:rPr>
              <w:t>GB12348-2008《工业企业厂界环境噪声排放标准》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执行标准：工作场所有害因素职业接触限值第2部分物理因素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u w:val="none" w:color="auto"/>
              </w:rPr>
              <w:t>火灾</w:t>
            </w:r>
            <w:r>
              <w:rPr>
                <w:rFonts w:hint="eastAsia"/>
                <w:u w:val="none" w:color="auto"/>
                <w:lang w:eastAsia="zh-CN"/>
              </w:rPr>
              <w:t>、</w:t>
            </w:r>
            <w:r>
              <w:rPr>
                <w:rFonts w:hint="eastAsia"/>
                <w:u w:val="none" w:color="auto"/>
                <w:lang w:val="en-US" w:eastAsia="zh-CN"/>
              </w:rPr>
              <w:t>触电、机械伤害、物体打击、意外伤害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b/>
                <w:color w:val="000000"/>
                <w:sz w:val="20"/>
                <w:szCs w:val="20"/>
              </w:rPr>
            </w:pPr>
            <w:r>
              <w:rPr>
                <w:rFonts w:hint="eastAsia" w:ascii="宋体" w:hAnsi="宋体" w:cs="Times New Roman"/>
                <w:b/>
                <w:color w:val="000000"/>
                <w:sz w:val="20"/>
                <w:szCs w:val="20"/>
              </w:rPr>
              <w:t>▲质量管理体系宜重点关注（设计、关键生产/服务、检验、采购过程及生产/服务提供场所）：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b/>
                <w:color w:val="000000"/>
                <w:sz w:val="20"/>
                <w:szCs w:val="20"/>
              </w:rPr>
            </w:pPr>
            <w:r>
              <w:rPr>
                <w:rFonts w:hint="eastAsia" w:ascii="宋体" w:hAnsi="宋体" w:cs="Times New Roman"/>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b/>
                <w:color w:val="000000"/>
                <w:sz w:val="20"/>
                <w:szCs w:val="20"/>
              </w:rPr>
            </w:pPr>
            <w:r>
              <w:rPr>
                <w:rFonts w:hint="eastAsia" w:ascii="宋体" w:hAnsi="宋体" w:cs="Times New Roman"/>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cs="Times New Roman"/>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00" w:firstLineChars="100"/>
        <w:rPr>
          <w:rFonts w:hint="eastAsia"/>
          <w:color w:val="000000"/>
          <w:sz w:val="20"/>
          <w:szCs w:val="20"/>
        </w:rPr>
      </w:pPr>
      <w:r>
        <w:rPr>
          <w:rFonts w:hint="eastAsia" w:ascii="宋体" w:hAnsi="宋体"/>
          <w:sz w:val="20"/>
          <w:szCs w:val="20"/>
        </w:rPr>
        <w:t>E：吊装绳索具、钢丝绳缆、带的生产；索具机械、钢材、纺织品的销售所涉及的相关环境管理活动</w:t>
      </w:r>
    </w:p>
    <w:p>
      <w:pPr>
        <w:spacing w:line="300" w:lineRule="auto"/>
        <w:ind w:firstLine="200" w:firstLineChars="100"/>
        <w:rPr>
          <w:rFonts w:hint="eastAsia" w:ascii="宋体" w:hAnsi="宋体"/>
          <w:b/>
          <w:color w:val="000000"/>
          <w:sz w:val="20"/>
          <w:szCs w:val="20"/>
        </w:rPr>
      </w:pPr>
      <w:r>
        <w:rPr>
          <w:rFonts w:hint="eastAsia" w:ascii="宋体" w:hAnsi="宋体"/>
          <w:sz w:val="20"/>
          <w:szCs w:val="20"/>
        </w:rPr>
        <w:t>O：吊装绳索具、钢丝绳缆、带的生产；索具机械、钢材、纺织品的销售所涉及的相关职业健康安全管理活动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1605280</wp:posOffset>
            </wp:positionH>
            <wp:positionV relativeFrom="paragraph">
              <wp:posOffset>29845</wp:posOffset>
            </wp:positionV>
            <wp:extent cx="1211580" cy="5835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6"/>
                    <a:stretch>
                      <a:fillRect/>
                    </a:stretch>
                  </pic:blipFill>
                  <pic:spPr>
                    <a:xfrm>
                      <a:off x="0" y="0"/>
                      <a:ext cx="1211580" cy="58356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0" w:firstLineChars="400"/>
        <w:rPr>
          <w:rFonts w:ascii="宋体"/>
          <w:b/>
          <w:color w:val="000000"/>
        </w:rPr>
      </w:pPr>
      <w:bookmarkStart w:id="20" w:name="_GoBack"/>
      <w:r>
        <w:rPr>
          <w:sz w:val="20"/>
        </w:rPr>
        <w:drawing>
          <wp:anchor distT="0" distB="0" distL="114300" distR="114300" simplePos="0" relativeHeight="251660288" behindDoc="0" locked="0" layoutInCell="1" allowOverlap="1">
            <wp:simplePos x="0" y="0"/>
            <wp:positionH relativeFrom="column">
              <wp:posOffset>1852295</wp:posOffset>
            </wp:positionH>
            <wp:positionV relativeFrom="paragraph">
              <wp:posOffset>63500</wp:posOffset>
            </wp:positionV>
            <wp:extent cx="633730" cy="267970"/>
            <wp:effectExtent l="0" t="0" r="1270" b="1143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33730" cy="267970"/>
                    </a:xfrm>
                    <a:prstGeom prst="rect">
                      <a:avLst/>
                    </a:prstGeom>
                    <a:noFill/>
                    <a:ln>
                      <a:noFill/>
                    </a:ln>
                  </pic:spPr>
                </pic:pic>
              </a:graphicData>
            </a:graphic>
          </wp:anchor>
        </w:drawing>
      </w:r>
      <w:bookmarkEnd w:id="20"/>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2020年9月24日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8" o:spid="_x0000_s1028" o:spt="20" style="position:absolute;left:0pt;flip:y;margin-left:15.4pt;margin-top:7.85pt;height:285.45pt;width:457.5pt;z-index:251659264;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A51E6F"/>
    <w:rsid w:val="6C1B0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2020-09-24T08:26:05Z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