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郝本东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F:审核员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2018-N1QMS-2047774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2018-N1FSMS-3047774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Q:03.06.01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F:CIV-1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ISC-47774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刘梦晗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F:审核员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2020-N1QMS-1258710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2020-N1FSMS-1258710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Q:03.06.01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F:CIV-1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ISC-258710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南通季和米业有限责任公司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海安工业园区(海安镇凤山村二十组)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226600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江苏省南通市海安县海安工业园区（海安镇凤山村二十组）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226600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江苏省南通市海安县海安工业园区（海安镇凤山村二十组）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226600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李义珍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0513－88812116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刘昌明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李义珍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2020年09月20日 上午至2020年09月21日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Q：03.06.01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F：CIV-1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