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重庆同诚房地产土地资产评估有限公司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0363-2020-QEO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2020-N0EMS-1267598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程蕾</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ISC-JSZJ-142</w:t>
            </w:r>
          </w:p>
          <w:p>
            <w:pPr>
              <w:snapToGrid w:val="0"/>
              <w:spacing w:line="320" w:lineRule="exact"/>
              <w:ind w:left="1309"/>
              <w:rPr>
                <w:sz w:val="22"/>
                <w:szCs w:val="22"/>
                <w:highlight w:val="none"/>
              </w:rPr>
            </w:pPr>
            <w:r>
              <w:rPr>
                <w:sz w:val="22"/>
                <w:szCs w:val="22"/>
                <w:highlight w:val="none"/>
              </w:rPr>
              <w:t>ISC-JSZJ-142</w:t>
            </w:r>
          </w:p>
          <w:p>
            <w:pPr>
              <w:snapToGrid w:val="0"/>
              <w:spacing w:line="320" w:lineRule="exact"/>
              <w:ind w:left="1309"/>
              <w:rPr>
                <w:sz w:val="22"/>
                <w:szCs w:val="22"/>
                <w:highlight w:val="none"/>
              </w:rPr>
            </w:pPr>
            <w:r>
              <w:rPr>
                <w:sz w:val="22"/>
                <w:szCs w:val="22"/>
                <w:highlight w:val="none"/>
              </w:rPr>
              <w:t>ISC-JSZJ-142</w:t>
            </w:r>
          </w:p>
          <w:p>
            <w:pPr>
              <w:snapToGrid w:val="0"/>
              <w:spacing w:line="320" w:lineRule="exact"/>
              <w:ind w:firstLine="440" w:firstLineChars="200"/>
              <w:rPr>
                <w:sz w:val="22"/>
                <w:szCs w:val="22"/>
                <w:highlight w:val="none"/>
              </w:rPr>
            </w:pPr>
            <w:r>
              <w:rPr>
                <w:sz w:val="22"/>
                <w:szCs w:val="22"/>
                <w:highlight w:val="none"/>
              </w:rPr>
              <w:t>重庆华川土地房地产估价与资产评估有限责任公司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2020年9月15日下午</w:t>
            </w:r>
          </w:p>
          <w:p>
            <w:pPr>
              <w:numPr>
                <w:ilvl w:val="0"/>
                <w:numId w:val="0"/>
              </w:num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2020年9月15日</w:t>
            </w:r>
            <w:r>
              <w:rPr>
                <w:rFonts w:hint="eastAsia"/>
                <w:sz w:val="20"/>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2020.9.15</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C65B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2020-09-22T12:57:59Z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