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5D" w:rsidRDefault="00D91B3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313"/>
        <w:gridCol w:w="194"/>
        <w:gridCol w:w="90"/>
        <w:gridCol w:w="690"/>
        <w:gridCol w:w="464"/>
        <w:gridCol w:w="256"/>
        <w:gridCol w:w="332"/>
        <w:gridCol w:w="809"/>
        <w:gridCol w:w="142"/>
        <w:gridCol w:w="1553"/>
        <w:gridCol w:w="6"/>
        <w:gridCol w:w="567"/>
        <w:gridCol w:w="1134"/>
        <w:gridCol w:w="108"/>
        <w:gridCol w:w="75"/>
        <w:gridCol w:w="690"/>
        <w:gridCol w:w="152"/>
        <w:gridCol w:w="109"/>
        <w:gridCol w:w="369"/>
        <w:gridCol w:w="1380"/>
        <w:gridCol w:w="56"/>
      </w:tblGrid>
      <w:tr w:rsidR="0003135D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03135D" w:rsidRDefault="00D91B3C">
            <w:pPr>
              <w:rPr>
                <w:rFonts w:ascii="宋体" w:hAnsi="宋体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重庆耐斯布艺有限公司</w:t>
            </w:r>
          </w:p>
        </w:tc>
      </w:tr>
      <w:tr w:rsidR="0003135D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3135D" w:rsidRDefault="00D91B3C">
            <w:pPr>
              <w:rPr>
                <w:rFonts w:ascii="宋体" w:hAnsi="宋体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重庆市江北区红原路171号21-18</w:t>
            </w:r>
          </w:p>
        </w:tc>
      </w:tr>
      <w:tr w:rsidR="0003135D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孙高</w:t>
            </w:r>
          </w:p>
        </w:tc>
        <w:tc>
          <w:tcPr>
            <w:tcW w:w="1695" w:type="dxa"/>
            <w:gridSpan w:val="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18996001600</w:t>
            </w:r>
          </w:p>
        </w:tc>
        <w:tc>
          <w:tcPr>
            <w:tcW w:w="765" w:type="dxa"/>
            <w:gridSpan w:val="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03135D" w:rsidRDefault="0003135D">
            <w:pPr>
              <w:rPr>
                <w:sz w:val="21"/>
                <w:szCs w:val="21"/>
              </w:rPr>
            </w:pPr>
          </w:p>
        </w:tc>
      </w:tr>
      <w:tr w:rsidR="0003135D"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孙高</w:t>
            </w:r>
          </w:p>
        </w:tc>
        <w:tc>
          <w:tcPr>
            <w:tcW w:w="1695" w:type="dxa"/>
            <w:gridSpan w:val="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03135D" w:rsidRDefault="0003135D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03135D" w:rsidRDefault="0003135D">
            <w:pPr>
              <w:rPr>
                <w:sz w:val="21"/>
                <w:szCs w:val="21"/>
              </w:rPr>
            </w:pPr>
          </w:p>
        </w:tc>
      </w:tr>
      <w:tr w:rsidR="0003135D"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0072-2018-QEO-2020</w:t>
            </w:r>
          </w:p>
        </w:tc>
        <w:tc>
          <w:tcPr>
            <w:tcW w:w="1701" w:type="dxa"/>
            <w:gridSpan w:val="3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3135D" w:rsidRDefault="00D91B3C">
            <w:r>
              <w:rPr>
                <w:rFonts w:ascii="宋体" w:hAnsi="宋体" w:cs="宋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3135D"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</w:p>
        </w:tc>
      </w:tr>
      <w:tr w:rsidR="0003135D"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■保持认证注册资格：__________</w:t>
            </w:r>
          </w:p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□其它：__________。</w:t>
            </w:r>
          </w:p>
        </w:tc>
      </w:tr>
      <w:tr w:rsidR="0003135D"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：遮阳产品（布艺窗帘、百叶、卷帘、柔纱帘）的设计、生产、销售和服务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>地毯、服装、床上用品、工艺品的销售</w:t>
            </w:r>
          </w:p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：遮阳产品（布艺窗帘、百叶、卷帘、柔纱帘）、地毯、服装、床上用品、工艺品销售所涉及的相关环境管理活动</w:t>
            </w:r>
          </w:p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：遮阳产品（布艺窗帘、百叶、卷帘、柔纱帘）、地毯、服装、床上用品、工艺品的销售所涉及的相关职业健康安全管理活动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04.04.02;14.02.03;29.12.00</w:t>
            </w:r>
          </w:p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3135D" w:rsidRDefault="00D91B3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</w:tc>
      </w:tr>
      <w:tr w:rsidR="0003135D"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03135D" w:rsidRDefault="00A555A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 w:rsidR="00D91B3C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D91B3C">
              <w:rPr>
                <w:rFonts w:hint="eastAsia"/>
                <w:b/>
                <w:sz w:val="20"/>
                <w:lang w:val="de-DE"/>
              </w:rPr>
              <w:t>：</w:t>
            </w:r>
            <w:r w:rsidR="00D91B3C">
              <w:rPr>
                <w:rFonts w:hint="eastAsia"/>
                <w:b/>
                <w:sz w:val="20"/>
                <w:lang w:val="de-DE"/>
              </w:rPr>
              <w:t>2018</w:t>
            </w:r>
            <w:r w:rsidR="00D91B3C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03135D"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下午，共</w:t>
            </w:r>
            <w:r>
              <w:rPr>
                <w:rFonts w:hint="eastAsia"/>
                <w:b/>
                <w:sz w:val="20"/>
              </w:rPr>
              <w:t xml:space="preserve"> 0.5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3135D"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3135D" w:rsidRDefault="00D91B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■普通话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3135D">
        <w:trPr>
          <w:gridAfter w:val="1"/>
          <w:wAfter w:w="56" w:type="dxa"/>
          <w:trHeight w:val="286"/>
        </w:trPr>
        <w:tc>
          <w:tcPr>
            <w:tcW w:w="10321" w:type="dxa"/>
            <w:gridSpan w:val="21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03" w:type="dxa"/>
            <w:gridSpan w:val="6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0" w:type="dxa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03" w:type="dxa"/>
            <w:gridSpan w:val="6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Q:14.02.03,29.12.00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80" w:type="dxa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03" w:type="dxa"/>
            <w:gridSpan w:val="6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80" w:type="dxa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2020-N0EMS-1267598</w:t>
            </w:r>
          </w:p>
        </w:tc>
        <w:tc>
          <w:tcPr>
            <w:tcW w:w="1503" w:type="dxa"/>
            <w:gridSpan w:val="6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2020-N0QMS-1262293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03" w:type="dxa"/>
            <w:gridSpan w:val="6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03" w:type="dxa"/>
            <w:gridSpan w:val="6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03" w:type="dxa"/>
            <w:gridSpan w:val="6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380" w:type="dxa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03135D" w:rsidTr="001E6188">
        <w:trPr>
          <w:gridAfter w:val="1"/>
          <w:wAfter w:w="56" w:type="dxa"/>
          <w:trHeight w:val="418"/>
        </w:trPr>
        <w:tc>
          <w:tcPr>
            <w:tcW w:w="1395" w:type="dxa"/>
            <w:gridSpan w:val="3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卢静</w:t>
            </w:r>
          </w:p>
        </w:tc>
        <w:tc>
          <w:tcPr>
            <w:tcW w:w="78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</w:tc>
        <w:tc>
          <w:tcPr>
            <w:tcW w:w="3402" w:type="dxa"/>
            <w:gridSpan w:val="5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重庆磊阔商贸有限公司</w:t>
            </w:r>
          </w:p>
        </w:tc>
        <w:tc>
          <w:tcPr>
            <w:tcW w:w="1503" w:type="dxa"/>
            <w:gridSpan w:val="6"/>
            <w:vAlign w:val="center"/>
          </w:tcPr>
          <w:p w:rsidR="001E6188" w:rsidRDefault="00D91B3C" w:rsidP="001E61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Q:04.04.02</w:t>
            </w:r>
          </w:p>
        </w:tc>
        <w:tc>
          <w:tcPr>
            <w:tcW w:w="1380" w:type="dxa"/>
            <w:vAlign w:val="center"/>
          </w:tcPr>
          <w:p w:rsidR="0003135D" w:rsidRDefault="00D91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ISC-JSZJ-028</w:t>
            </w: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6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6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6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</w:tr>
      <w:tr w:rsidR="0003135D"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503" w:type="dxa"/>
            <w:gridSpan w:val="6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Align w:val="center"/>
          </w:tcPr>
          <w:p w:rsidR="0003135D" w:rsidRDefault="0003135D">
            <w:pPr>
              <w:jc w:val="center"/>
              <w:rPr>
                <w:sz w:val="20"/>
              </w:rPr>
            </w:pPr>
          </w:p>
        </w:tc>
      </w:tr>
      <w:tr w:rsidR="0003135D">
        <w:trPr>
          <w:gridAfter w:val="1"/>
          <w:wAfter w:w="56" w:type="dxa"/>
          <w:trHeight w:val="825"/>
        </w:trPr>
        <w:tc>
          <w:tcPr>
            <w:tcW w:w="10321" w:type="dxa"/>
            <w:gridSpan w:val="21"/>
            <w:vAlign w:val="center"/>
          </w:tcPr>
          <w:p w:rsidR="0003135D" w:rsidRDefault="00D91B3C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3135D"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 w:rsidR="0003135D" w:rsidRDefault="0003135D"/>
        </w:tc>
      </w:tr>
      <w:tr w:rsidR="0003135D"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sz w:val="18"/>
                <w:szCs w:val="18"/>
              </w:rPr>
              <w:t>13983696917</w:t>
            </w:r>
          </w:p>
          <w:p w:rsidR="0003135D" w:rsidRDefault="0003135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03135D" w:rsidRDefault="0003135D"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/>
            <w:vAlign w:val="center"/>
          </w:tcPr>
          <w:p w:rsidR="0003135D" w:rsidRDefault="0003135D"/>
        </w:tc>
      </w:tr>
      <w:tr w:rsidR="0003135D">
        <w:trPr>
          <w:gridAfter w:val="1"/>
          <w:wAfter w:w="56" w:type="dxa"/>
          <w:trHeight w:val="381"/>
        </w:trPr>
        <w:tc>
          <w:tcPr>
            <w:tcW w:w="1201" w:type="dxa"/>
            <w:gridSpan w:val="2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03135D" w:rsidRDefault="00D91B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 w:rsidR="0003135D" w:rsidRDefault="00D91B3C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03135D">
        <w:trPr>
          <w:cantSplit/>
          <w:trHeight w:val="401"/>
        </w:trPr>
        <w:tc>
          <w:tcPr>
            <w:tcW w:w="10377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135D" w:rsidRDefault="0003135D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D91B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03135D" w:rsidTr="00A555AF">
        <w:trPr>
          <w:cantSplit/>
          <w:trHeight w:val="396"/>
        </w:trPr>
        <w:tc>
          <w:tcPr>
            <w:tcW w:w="888" w:type="dxa"/>
            <w:tcBorders>
              <w:left w:val="single" w:sz="8" w:space="0" w:color="auto"/>
            </w:tcBorders>
            <w:vAlign w:val="center"/>
          </w:tcPr>
          <w:p w:rsidR="0003135D" w:rsidRDefault="00D91B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51" w:type="dxa"/>
            <w:gridSpan w:val="5"/>
            <w:vAlign w:val="center"/>
          </w:tcPr>
          <w:p w:rsidR="0003135D" w:rsidRDefault="00D91B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88" w:type="dxa"/>
            <w:gridSpan w:val="2"/>
            <w:vAlign w:val="center"/>
          </w:tcPr>
          <w:p w:rsidR="0003135D" w:rsidRDefault="00D91B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36" w:type="dxa"/>
            <w:gridSpan w:val="10"/>
            <w:vAlign w:val="center"/>
          </w:tcPr>
          <w:p w:rsidR="0003135D" w:rsidRDefault="00D91B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914" w:type="dxa"/>
            <w:gridSpan w:val="4"/>
            <w:tcBorders>
              <w:right w:val="single" w:sz="8" w:space="0" w:color="auto"/>
            </w:tcBorders>
            <w:vAlign w:val="center"/>
          </w:tcPr>
          <w:p w:rsidR="0003135D" w:rsidRDefault="00D91B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3135D" w:rsidTr="00A555AF">
        <w:trPr>
          <w:cantSplit/>
          <w:trHeight w:val="498"/>
        </w:trPr>
        <w:tc>
          <w:tcPr>
            <w:tcW w:w="888" w:type="dxa"/>
            <w:vMerge w:val="restart"/>
            <w:tcBorders>
              <w:left w:val="single" w:sz="8" w:space="0" w:color="auto"/>
            </w:tcBorders>
            <w:vAlign w:val="center"/>
          </w:tcPr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0" w:name="_GoBack"/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03135D" w:rsidRDefault="00D91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9月18日</w:t>
            </w:r>
          </w:p>
        </w:tc>
        <w:tc>
          <w:tcPr>
            <w:tcW w:w="1751" w:type="dxa"/>
            <w:gridSpan w:val="5"/>
            <w:vAlign w:val="center"/>
          </w:tcPr>
          <w:p w:rsidR="0003135D" w:rsidRDefault="00D91B3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A555AF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:00-1</w:t>
            </w:r>
            <w:r w:rsidR="00A555AF"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5824" w:type="dxa"/>
            <w:gridSpan w:val="12"/>
            <w:vAlign w:val="center"/>
          </w:tcPr>
          <w:p w:rsidR="0003135D" w:rsidRDefault="00D91B3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914" w:type="dxa"/>
            <w:gridSpan w:val="4"/>
            <w:tcBorders>
              <w:right w:val="single" w:sz="8" w:space="0" w:color="auto"/>
            </w:tcBorders>
          </w:tcPr>
          <w:p w:rsidR="0003135D" w:rsidRDefault="00D91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文平、杨珍全、余家龙、冉景洲、宋明珠、张心、卢静</w:t>
            </w:r>
          </w:p>
        </w:tc>
      </w:tr>
      <w:bookmarkEnd w:id="0"/>
      <w:tr w:rsidR="002B29BF" w:rsidTr="00C968B7">
        <w:trPr>
          <w:cantSplit/>
          <w:trHeight w:val="4162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 w:val="restart"/>
          </w:tcPr>
          <w:p w:rsidR="002B29BF" w:rsidRPr="00A555A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A555AF">
              <w:rPr>
                <w:rFonts w:ascii="宋体" w:hAnsi="宋体" w:hint="eastAsia"/>
                <w:b/>
                <w:bCs/>
                <w:sz w:val="18"/>
                <w:szCs w:val="18"/>
              </w:rPr>
              <w:t>14：30-17：30</w:t>
            </w:r>
          </w:p>
          <w:p w:rsidR="002B29BF" w:rsidRPr="00A555AF" w:rsidRDefault="002B29BF" w:rsidP="002135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 w:val="restart"/>
          </w:tcPr>
          <w:p w:rsidR="002B29BF" w:rsidRDefault="002B29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236" w:type="dxa"/>
            <w:gridSpan w:val="10"/>
          </w:tcPr>
          <w:p w:rsidR="002B29BF" w:rsidRDefault="002B29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2B29BF" w:rsidRDefault="002B29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9.3管理评审；10.1改进 总则；10.3持续改进</w:t>
            </w:r>
          </w:p>
          <w:p w:rsidR="002B29BF" w:rsidRDefault="002B29BF" w:rsidP="00A555A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2B29BF" w:rsidRDefault="002B29BF" w:rsidP="00A555A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4.1组织及其环境;4.2相关方需求与期望;4.3确定体系范围;4.4体系;5.1领导作用与承诺;5.2方针;5.3组织的角色、职责和权限；6.2目标及其实现的策划；7.1资源；7.4沟通；9.1.1监测、分析和评估总则； 9.3管理评审；10.1改进 总则；10.3持续改进</w:t>
            </w:r>
          </w:p>
        </w:tc>
        <w:tc>
          <w:tcPr>
            <w:tcW w:w="1914" w:type="dxa"/>
            <w:gridSpan w:val="4"/>
          </w:tcPr>
          <w:p w:rsidR="002B29BF" w:rsidRDefault="002B29BF" w:rsidP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</w:p>
        </w:tc>
      </w:tr>
      <w:tr w:rsidR="002B29BF" w:rsidTr="00A555AF">
        <w:trPr>
          <w:cantSplit/>
          <w:trHeight w:val="2808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/>
          </w:tcPr>
          <w:p w:rsidR="002B29BF" w:rsidRPr="00A555A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/>
          </w:tcPr>
          <w:p w:rsidR="002B29BF" w:rsidRDefault="002B29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36" w:type="dxa"/>
            <w:gridSpan w:val="10"/>
          </w:tcPr>
          <w:p w:rsidR="002B29BF" w:rsidRDefault="002B29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OHSMS-2011 </w:t>
            </w:r>
          </w:p>
          <w:p w:rsidR="002B29BF" w:rsidRDefault="002B29BF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4.1总要求；4.2方针；4.4.1资源、角色、职责、责任与权限；4.4.3沟通、参与和协商；4.4.4体系文件； 4.6管理评审；4.5.3事件调查、不符合、纠正措施与预防措施</w:t>
            </w:r>
          </w:p>
          <w:p w:rsidR="002B29BF" w:rsidRDefault="002B29BF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B29BF" w:rsidRDefault="002B29BF" w:rsidP="00A555AF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范围的确认，资质的确认，法律法规执行情况，投诉或事故/政府主管部门监督抽查情况，上次不符合验证Q8.4.1 的要求</w:t>
            </w:r>
          </w:p>
        </w:tc>
        <w:tc>
          <w:tcPr>
            <w:tcW w:w="1914" w:type="dxa"/>
            <w:gridSpan w:val="4"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2B29BF" w:rsidTr="00A555AF">
        <w:trPr>
          <w:cantSplit/>
          <w:trHeight w:val="1020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/>
          </w:tcPr>
          <w:p w:rsidR="002B29BF" w:rsidRDefault="002B29BF" w:rsidP="002135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vMerge w:val="restart"/>
          </w:tcPr>
          <w:p w:rsidR="002B29BF" w:rsidRDefault="002B29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行政部（含财务部）</w:t>
            </w:r>
          </w:p>
        </w:tc>
        <w:tc>
          <w:tcPr>
            <w:tcW w:w="5236" w:type="dxa"/>
            <w:gridSpan w:val="10"/>
          </w:tcPr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</w:p>
          <w:p w:rsidR="002B29BF" w:rsidRDefault="002B29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7.1.2人员;7.2能力；7.3意识；7.5文件化信息； 9.2内部审核；</w:t>
            </w:r>
          </w:p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  <w:gridSpan w:val="4"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</w:tc>
      </w:tr>
      <w:tr w:rsidR="002B29BF" w:rsidTr="00A555AF">
        <w:trPr>
          <w:cantSplit/>
          <w:trHeight w:val="4404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/>
          </w:tcPr>
          <w:p w:rsidR="002B29BF" w:rsidRDefault="002B29BF" w:rsidP="002135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vMerge/>
          </w:tcPr>
          <w:p w:rsidR="002B29BF" w:rsidRDefault="002B29B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236" w:type="dxa"/>
            <w:gridSpan w:val="10"/>
          </w:tcPr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</w:p>
          <w:p w:rsidR="002B29BF" w:rsidRDefault="002B29BF" w:rsidP="002B29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2B29BF" w:rsidRDefault="002B29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</w:p>
          <w:p w:rsidR="002B29BF" w:rsidRDefault="002B29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</w:t>
            </w:r>
            <w:r>
              <w:rPr>
                <w:rFonts w:ascii="宋体" w:hAnsi="宋体" w:cs="新宋体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目标及其达成的策划；6.1.2环境因素；6.1.3合规义务；8.1运行策划和控制；8.2应急准备和响应；9.1监视、测量、分析与评估；9.1.2符合性评估；9.2内部审核；10.2不符合和纠正措施；10.3持续改进/EMS运行控制相关财务支出证据</w:t>
            </w:r>
          </w:p>
          <w:p w:rsidR="002B29BF" w:rsidRDefault="002B29B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  <w:r>
              <w:rPr>
                <w:rFonts w:ascii="宋体" w:hAnsi="宋体" w:cs="新宋体"/>
                <w:sz w:val="18"/>
                <w:szCs w:val="18"/>
              </w:rPr>
              <w:t>：</w:t>
            </w:r>
          </w:p>
          <w:p w:rsidR="002B29BF" w:rsidRDefault="002B29BF" w:rsidP="0036383E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4.3.1危险源识别、评价与控制措施；4.3.2法规与其他要求；4.3.3目标与方案；4.4.1资源、角色、职责、责任与权限； 4.4.6运行控制；4.4.7应急准备与响应；4.5.1监视与测量；4.5.2合规性评价；4.5.3事件调查、不符合、纠正措施与预防措施；4.5.4记录控制；4.5.5内部审核；/OHSMS运行控制财务支出证据</w:t>
            </w:r>
          </w:p>
        </w:tc>
        <w:tc>
          <w:tcPr>
            <w:tcW w:w="1914" w:type="dxa"/>
            <w:gridSpan w:val="4"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文平、卢静</w:t>
            </w:r>
          </w:p>
        </w:tc>
      </w:tr>
      <w:tr w:rsidR="002B29BF" w:rsidTr="002B29BF">
        <w:trPr>
          <w:cantSplit/>
          <w:trHeight w:val="1020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:rsidR="002B29BF" w:rsidRDefault="002B29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/>
          </w:tcPr>
          <w:p w:rsidR="002B29BF" w:rsidRDefault="002B29BF" w:rsidP="002135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vMerge w:val="restart"/>
          </w:tcPr>
          <w:p w:rsidR="002B29BF" w:rsidRDefault="002B29BF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236" w:type="dxa"/>
            <w:gridSpan w:val="10"/>
          </w:tcPr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B29BF" w:rsidRDefault="002B29BF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8.2产品和服务的要求；8.4外部提供供方的控制</w:t>
            </w:r>
            <w:r w:rsidR="0036383E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 8.5.1生产和服务提供的控制；9.1.2顾客满意；</w:t>
            </w: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  <w:gridSpan w:val="4"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</w:p>
        </w:tc>
      </w:tr>
      <w:tr w:rsidR="002B29BF" w:rsidTr="002B29BF">
        <w:trPr>
          <w:cantSplit/>
          <w:trHeight w:val="1140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:rsidR="002B29BF" w:rsidRDefault="002B29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/>
          </w:tcPr>
          <w:p w:rsidR="002B29BF" w:rsidRDefault="002B29BF" w:rsidP="002135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vMerge/>
          </w:tcPr>
          <w:p w:rsidR="002B29BF" w:rsidRDefault="002B29B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236" w:type="dxa"/>
            <w:gridSpan w:val="10"/>
          </w:tcPr>
          <w:p w:rsidR="002B29BF" w:rsidRDefault="002B29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6.1.2环境因素；7.4沟通；8.1运行策划和控制；8.2应急准备和响应</w:t>
            </w:r>
          </w:p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914" w:type="dxa"/>
            <w:gridSpan w:val="4"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余家龙</w:t>
            </w:r>
          </w:p>
        </w:tc>
      </w:tr>
      <w:tr w:rsidR="002B29BF" w:rsidTr="002B29BF">
        <w:trPr>
          <w:cantSplit/>
          <w:trHeight w:val="933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:rsidR="002B29BF" w:rsidRDefault="002B29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/>
          </w:tcPr>
          <w:p w:rsidR="002B29BF" w:rsidRDefault="002B29BF" w:rsidP="0021359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vMerge/>
          </w:tcPr>
          <w:p w:rsidR="002B29BF" w:rsidRDefault="002B29B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236" w:type="dxa"/>
            <w:gridSpan w:val="10"/>
          </w:tcPr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2B29BF" w:rsidRDefault="002B29BF" w:rsidP="002B29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2B29BF" w:rsidRDefault="002B29BF" w:rsidP="002B29B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5.3组织的角色、职责和权限、6.2质量目标及其实现的策划；</w:t>
            </w:r>
          </w:p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OHSMS-2011：</w:t>
            </w:r>
          </w:p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4.3.1危险源识别、评价和控制措施的确定；4.3.3目标与方案；4.4.1资源、角色、职责、责任与权限；4.4.3沟通、参与和协商；4.4.6运行控制；4.4.7应急准备与响应</w:t>
            </w:r>
          </w:p>
        </w:tc>
        <w:tc>
          <w:tcPr>
            <w:tcW w:w="1914" w:type="dxa"/>
            <w:gridSpan w:val="4"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2B29BF" w:rsidTr="002B29BF">
        <w:trPr>
          <w:cantSplit/>
          <w:trHeight w:val="1560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:rsidR="002B29BF" w:rsidRDefault="002B29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vMerge w:val="restart"/>
          </w:tcPr>
          <w:p w:rsidR="002B29BF" w:rsidRDefault="002B29BF" w:rsidP="00A555A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生技部</w:t>
            </w:r>
          </w:p>
        </w:tc>
        <w:tc>
          <w:tcPr>
            <w:tcW w:w="5236" w:type="dxa"/>
            <w:gridSpan w:val="10"/>
          </w:tcPr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QMS-2015:</w:t>
            </w: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7.1.5监视和测量资源； 8.1运行策划和控制； 8.3设计开发控制； 8.5.1生产和服务提供的控制；8.5.2标识和可追溯性；8.5.3顾客或外部供方的财产；8.5.4防护；8.5.5交付后的活动；8.6产品和服务放行；8.7不合格输出的控制； </w:t>
            </w: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914" w:type="dxa"/>
            <w:gridSpan w:val="4"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文平、卢静</w:t>
            </w:r>
          </w:p>
        </w:tc>
      </w:tr>
      <w:tr w:rsidR="002B29BF" w:rsidTr="00A555AF">
        <w:trPr>
          <w:cantSplit/>
          <w:trHeight w:val="2268"/>
        </w:trPr>
        <w:tc>
          <w:tcPr>
            <w:tcW w:w="888" w:type="dxa"/>
            <w:vMerge/>
            <w:tcBorders>
              <w:left w:val="single" w:sz="8" w:space="0" w:color="auto"/>
            </w:tcBorders>
            <w:vAlign w:val="center"/>
          </w:tcPr>
          <w:p w:rsidR="002B29BF" w:rsidRDefault="002B29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  <w:vMerge/>
          </w:tcPr>
          <w:p w:rsidR="002B29BF" w:rsidRDefault="002B29B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vMerge/>
          </w:tcPr>
          <w:p w:rsidR="002B29BF" w:rsidRDefault="002B29BF" w:rsidP="00A555A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236" w:type="dxa"/>
            <w:gridSpan w:val="10"/>
          </w:tcPr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QMS-2015:</w:t>
            </w:r>
          </w:p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5.3组织的角色、职责和权限；6.2质量目标及其实现的策划；</w:t>
            </w: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EMS-2015：</w:t>
            </w: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5.3组织的角色、职责和权限；6.2目标及其实现的策划； 6.1.2环境因素；8.1运行策划和控制； 8.2应急准备和响应</w:t>
            </w: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OHSMS-2011：</w:t>
            </w:r>
          </w:p>
          <w:p w:rsidR="002B29BF" w:rsidRDefault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4.4.1资源、角色、职责、责任与权限;4.3.1危险源识别、评价和控制措施的确定；4.3.3目标与方案； 4.4.6运行控制；4.4.7应急准备与响应</w:t>
            </w:r>
          </w:p>
          <w:p w:rsidR="002B29BF" w:rsidRDefault="002B29BF" w:rsidP="002B29BF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gridSpan w:val="4"/>
          </w:tcPr>
          <w:p w:rsidR="002B29BF" w:rsidRDefault="00C60CE8" w:rsidP="002B29BF">
            <w:pPr>
              <w:snapToGrid w:val="0"/>
              <w:spacing w:line="320" w:lineRule="exact"/>
              <w:rPr>
                <w:rFonts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03135D" w:rsidTr="00A555AF">
        <w:trPr>
          <w:cantSplit/>
          <w:trHeight w:val="1053"/>
        </w:trPr>
        <w:tc>
          <w:tcPr>
            <w:tcW w:w="888" w:type="dxa"/>
            <w:vMerge/>
            <w:tcBorders>
              <w:left w:val="single" w:sz="8" w:space="0" w:color="auto"/>
            </w:tcBorders>
          </w:tcPr>
          <w:p w:rsidR="0003135D" w:rsidRDefault="0003135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1" w:type="dxa"/>
            <w:gridSpan w:val="5"/>
          </w:tcPr>
          <w:p w:rsidR="0003135D" w:rsidRDefault="00D91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A555AF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:30-1</w:t>
            </w:r>
            <w:r w:rsidR="00A555AF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5824" w:type="dxa"/>
            <w:gridSpan w:val="12"/>
            <w:vAlign w:val="center"/>
          </w:tcPr>
          <w:p w:rsidR="0003135D" w:rsidRDefault="00D91B3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审核组内部沟通,并与受审核方沟通末次会议</w:t>
            </w:r>
          </w:p>
        </w:tc>
        <w:tc>
          <w:tcPr>
            <w:tcW w:w="1914" w:type="dxa"/>
            <w:gridSpan w:val="4"/>
          </w:tcPr>
          <w:p w:rsidR="0003135D" w:rsidRDefault="00D91B3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文平、杨珍全、余家龙、冉景洲、宋明珠、张心、卢静</w:t>
            </w:r>
          </w:p>
        </w:tc>
      </w:tr>
    </w:tbl>
    <w:p w:rsidR="0003135D" w:rsidRDefault="0003135D">
      <w:pPr>
        <w:jc w:val="center"/>
        <w:rPr>
          <w:b/>
          <w:sz w:val="28"/>
          <w:szCs w:val="28"/>
        </w:rPr>
      </w:pPr>
    </w:p>
    <w:p w:rsidR="0003135D" w:rsidRDefault="00D91B3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3135D" w:rsidRDefault="00D91B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03135D" w:rsidRDefault="00D91B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03135D" w:rsidRDefault="00D91B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03135D" w:rsidRDefault="00D91B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3135D" w:rsidRDefault="00D91B3C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3135D" w:rsidSect="000313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3FB" w:rsidRDefault="00D973FB" w:rsidP="0003135D">
      <w:r>
        <w:separator/>
      </w:r>
    </w:p>
  </w:endnote>
  <w:endnote w:type="continuationSeparator" w:id="0">
    <w:p w:rsidR="00D973FB" w:rsidRDefault="00D973FB" w:rsidP="0003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3FB" w:rsidRDefault="00D973FB" w:rsidP="0003135D">
      <w:r>
        <w:separator/>
      </w:r>
    </w:p>
  </w:footnote>
  <w:footnote w:type="continuationSeparator" w:id="0">
    <w:p w:rsidR="00D973FB" w:rsidRDefault="00D973FB" w:rsidP="00031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5D" w:rsidRDefault="00D91B3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3135D" w:rsidRDefault="00BB74E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03135D" w:rsidRDefault="00D91B3C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91B3C">
      <w:rPr>
        <w:rStyle w:val="CharChar1"/>
        <w:rFonts w:hint="default"/>
      </w:rPr>
      <w:t xml:space="preserve">        </w:t>
    </w:r>
    <w:r w:rsidR="00D91B3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91B3C">
      <w:rPr>
        <w:rStyle w:val="CharChar1"/>
        <w:rFonts w:hint="default"/>
        <w:w w:val="90"/>
      </w:rPr>
      <w:t>Co.,Ltd</w:t>
    </w:r>
    <w:proofErr w:type="spellEnd"/>
    <w:r w:rsidR="00D91B3C">
      <w:rPr>
        <w:rStyle w:val="CharChar1"/>
        <w:rFonts w:hint="default"/>
        <w:w w:val="90"/>
      </w:rPr>
      <w:t>.</w:t>
    </w:r>
    <w:r w:rsidR="00D91B3C">
      <w:rPr>
        <w:rStyle w:val="CharChar1"/>
        <w:rFonts w:hint="default"/>
        <w:w w:val="90"/>
        <w:szCs w:val="21"/>
      </w:rPr>
      <w:t xml:space="preserve">  </w:t>
    </w:r>
    <w:r w:rsidR="00D91B3C">
      <w:rPr>
        <w:rStyle w:val="CharChar1"/>
        <w:rFonts w:hint="default"/>
        <w:w w:val="90"/>
        <w:sz w:val="20"/>
      </w:rPr>
      <w:t xml:space="preserve"> </w:t>
    </w:r>
    <w:r w:rsidR="00D91B3C">
      <w:rPr>
        <w:rStyle w:val="CharChar1"/>
        <w:rFonts w:hint="default"/>
        <w:w w:val="90"/>
      </w:rPr>
      <w:t xml:space="preserve">                   </w:t>
    </w:r>
  </w:p>
  <w:p w:rsidR="0003135D" w:rsidRDefault="00BB74E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35D"/>
    <w:rsid w:val="0003135D"/>
    <w:rsid w:val="001E6188"/>
    <w:rsid w:val="002B29BF"/>
    <w:rsid w:val="0036383E"/>
    <w:rsid w:val="005F1B2F"/>
    <w:rsid w:val="009F2AB5"/>
    <w:rsid w:val="00A555AF"/>
    <w:rsid w:val="00BB74E7"/>
    <w:rsid w:val="00C60CE8"/>
    <w:rsid w:val="00C92CB0"/>
    <w:rsid w:val="00D91B3C"/>
    <w:rsid w:val="00D973FB"/>
    <w:rsid w:val="1F1256C7"/>
    <w:rsid w:val="29C86BE8"/>
    <w:rsid w:val="32CE1B75"/>
    <w:rsid w:val="3F7E6A55"/>
    <w:rsid w:val="41002491"/>
    <w:rsid w:val="48367F68"/>
    <w:rsid w:val="50020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="宋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5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31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31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031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3135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135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3135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313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03135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573</Words>
  <Characters>3267</Characters>
  <Application>Microsoft Office Word</Application>
  <DocSecurity>0</DocSecurity>
  <Lines>27</Lines>
  <Paragraphs>7</Paragraphs>
  <ScaleCrop>false</ScaleCrop>
  <Company>微软中国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2020-09-18T06:05:00Z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