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重庆龙杭实业有限公司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销售流程：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客户需求----签订合同---进行采购----产品检验----交付客户---验收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销售服务过程风险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产品样式</w:t>
            </w:r>
            <w:r>
              <w:rPr>
                <w:rFonts w:hint="eastAsia" w:ascii="宋体" w:hAnsi="宋体"/>
                <w:sz w:val="21"/>
                <w:szCs w:val="21"/>
              </w:rPr>
              <w:t>、外观质量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交付不准时等造成顾客拒收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  <w:p>
            <w:pPr>
              <w:spacing w:line="46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风险</w:t>
            </w:r>
            <w:r>
              <w:rPr>
                <w:rFonts w:hint="eastAsia" w:ascii="宋体" w:hAnsi="宋体"/>
                <w:sz w:val="21"/>
                <w:szCs w:val="21"/>
              </w:rPr>
              <w:t>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通过合同评审，供方的选择、产品采购控制和销售服务作业流程控制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jc w:val="lef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潜在火灾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固废</w:t>
            </w:r>
            <w:r>
              <w:rPr>
                <w:rFonts w:hint="eastAsia"/>
                <w:sz w:val="20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0"/>
                <w:highlight w:val="none"/>
              </w:rPr>
              <w:t>，采取分类收集、管理方案和预案措施管理。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硅藻土百叶窗帘和百叶窗用叶片DB22/T 2227-2014、窗帘用经编面料FZ/T 72019-2013、国家纺织产品基本安全技术规范GB18401-2010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布料材质、样式、</w:t>
            </w:r>
            <w:r>
              <w:rPr>
                <w:rFonts w:hint="eastAsia" w:ascii="宋体" w:hAnsi="宋体"/>
                <w:sz w:val="21"/>
                <w:szCs w:val="21"/>
              </w:rPr>
              <w:t>尺寸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等；</w:t>
            </w:r>
          </w:p>
          <w:p>
            <w:pPr>
              <w:spacing w:line="46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关键控制点：销售过程控制。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2020.9.17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2020.9.17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E129E0"/>
    <w:rsid w:val="4CC5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4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2020-09-17T06:51:50Z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