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重庆苏友交通工程材料有限公司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重庆苏友交通工程材料有限公司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重庆市南岸区腾龙大道46号12-15</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400061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重庆市南岸区腾龙大道46号12-15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400061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刘红</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023-62839875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吴启洪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en-US" w:eastAsia="zh-CN"/>
              </w:rPr>
              <w:t>2020.4.1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Q：交通工程材料、金属制品（不含稀贵金属）、不锈钢制品的销售</w:t>
            </w:r>
          </w:p>
          <w:p>
            <w:pPr>
              <w:spacing w:line="400" w:lineRule="exact"/>
              <w:rPr>
                <w:rFonts w:ascii="宋体" w:hAnsi="宋体"/>
                <w:b/>
                <w:color w:val="000000"/>
                <w:sz w:val="20"/>
                <w:szCs w:val="20"/>
              </w:rPr>
            </w:pPr>
            <w:r>
              <w:rPr>
                <w:rFonts w:ascii="宋体" w:hAnsi="宋体"/>
                <w:b/>
                <w:color w:val="000000"/>
                <w:sz w:val="20"/>
                <w:szCs w:val="20"/>
              </w:rPr>
              <w:t>E：交通工程材料、金属制品（不含稀贵金属）、不锈钢制品的销售所涉及的相关环境管理活动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O：交通工程材料、金属制品（不含稀贵金属）、不锈钢制品的销售所涉及的相关职业健康安全管理活动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51" w:firstLineChars="139"/>
        <w:rPr>
          <w:rFonts w:ascii="宋体"/>
          <w:b/>
          <w:color w:val="000000"/>
          <w:spacing w:val="-4"/>
          <w:sz w:val="20"/>
          <w:szCs w:val="20"/>
        </w:rPr>
      </w:pPr>
      <w:r>
        <w:rPr>
          <w:rFonts w:hint="eastAsia" w:ascii="宋体" w:hAnsi="宋体"/>
          <w:b/>
          <w:color w:val="000000"/>
          <w:spacing w:val="-10"/>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eastAsia="宋体" w:cs="Times New Roman"/>
          <w:szCs w:val="21"/>
          <w:lang w:val="en-US" w:eastAsia="zh-CN"/>
        </w:rPr>
        <w:t>管理层、</w:t>
      </w:r>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经营部、</w:t>
      </w:r>
      <w:r>
        <w:rPr>
          <w:rFonts w:hint="eastAsia" w:ascii="宋体" w:hAnsi="宋体"/>
          <w:szCs w:val="21"/>
          <w:lang w:val="en-US" w:eastAsia="zh-CN"/>
        </w:rPr>
        <w:t>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交通工程材料、金属制品（不含稀贵金属）、不锈钢制品的销售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经营部、</w:t>
            </w:r>
            <w:r>
              <w:rPr>
                <w:rFonts w:hint="eastAsia" w:ascii="宋体" w:hAnsi="宋体" w:eastAsia="宋体" w:cs="Times New Roman"/>
                <w:b/>
                <w:color w:val="000000"/>
                <w:sz w:val="20"/>
                <w:szCs w:val="20"/>
                <w:lang w:val="en-US" w:eastAsia="zh-CN"/>
              </w:rPr>
              <w:t>财务部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经营部</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bookmarkStart w:id="24" w:name="生产地址"/>
            <w:r>
              <w:t>重庆市南岸区腾龙大道46号12-15</w:t>
            </w:r>
            <w:bookmarkEnd w:id="2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经营部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highlight w:val="red"/>
              </w:rPr>
            </w:pPr>
            <w:r>
              <w:rPr>
                <w:rFonts w:hint="eastAsia" w:ascii="宋体" w:hAnsi="宋体"/>
                <w:color w:val="000000"/>
                <w:sz w:val="20"/>
                <w:szCs w:val="20"/>
              </w:rPr>
              <w:t>其使用的建筑设施是</w:t>
            </w:r>
            <w:r>
              <w:rPr>
                <w:rFonts w:hint="eastAsia" w:ascii="宋体" w:hAnsi="宋体"/>
                <w:color w:val="000000"/>
                <w:sz w:val="20"/>
                <w:szCs w:val="20"/>
                <w:highlight w:val="none"/>
              </w:rPr>
              <w:t>：</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highlight w:val="non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pStyle w:val="3"/>
              <w:keepNext w:val="0"/>
              <w:keepLines w:val="0"/>
              <w:widowControl/>
              <w:suppressLineNumbers w:val="0"/>
              <w:shd w:val="clear" w:color="auto" w:fill="FFFFFF"/>
              <w:ind w:left="0" w:firstLine="0"/>
              <w:jc w:val="both"/>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b w:val="0"/>
                <w:bCs w:val="0"/>
                <w:kern w:val="2"/>
                <w:sz w:val="21"/>
                <w:szCs w:val="21"/>
                <w:highlight w:val="none"/>
                <w:lang w:val="en-US" w:eastAsia="zh-CN" w:bidi="ar-SA"/>
              </w:rPr>
              <w:t>《公路交通安全设施技术规范》JTGD81-2017、《隔离栅》GB/T 26941-2011、《隔离栅 第2部分：立柱、斜撑和门》GB/T 26941.2-2011、《钢结构设计规范》GB5007-2003、《铝及铝合金轧制板材》GB/T3880-2006、《结构用无缝钢管》GB/T8162-2008、合同协议等、合同协议等。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eastAsia="宋体" w:cs="Times New Roman"/>
                <w:szCs w:val="21"/>
                <w:highlight w:val="none"/>
              </w:rPr>
              <w:t>污水排入城镇下水道水质标准（</w:t>
            </w:r>
            <w:r>
              <w:rPr>
                <w:rFonts w:ascii="宋体" w:hAnsi="宋体" w:eastAsia="宋体" w:cs="Times New Roman"/>
                <w:szCs w:val="21"/>
                <w:highlight w:val="none"/>
              </w:rPr>
              <w:t>GB/T 31962-2015</w:t>
            </w: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highlight w:val="none"/>
        </w:rPr>
      </w:pPr>
      <w:r>
        <w:rPr>
          <w:rFonts w:hint="eastAsia" w:ascii="宋体" w:hAnsi="宋体"/>
          <w:b/>
          <w:color w:val="000000"/>
          <w:sz w:val="22"/>
          <w:szCs w:val="22"/>
          <w:highlight w:val="none"/>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highlight w:val="none"/>
              </w:rPr>
            </w:pPr>
            <w:r>
              <w:rPr>
                <w:rFonts w:hint="eastAsia" w:ascii="宋体" w:hAnsi="宋体"/>
                <w:b/>
                <w:color w:val="000000"/>
                <w:spacing w:val="-10"/>
                <w:sz w:val="20"/>
                <w:szCs w:val="20"/>
                <w:highlight w:val="none"/>
              </w:rPr>
              <w:t>过程识别与控制情况（</w:t>
            </w:r>
            <w:r>
              <w:rPr>
                <w:rFonts w:ascii="宋体" w:hAnsi="宋体"/>
                <w:b/>
                <w:color w:val="000000"/>
                <w:spacing w:val="-10"/>
                <w:sz w:val="20"/>
                <w:szCs w:val="20"/>
                <w:highlight w:val="none"/>
              </w:rPr>
              <w:t>QMS</w:t>
            </w:r>
            <w:r>
              <w:rPr>
                <w:rFonts w:hint="eastAsia" w:ascii="宋体" w:hAnsi="宋体"/>
                <w:b/>
                <w:color w:val="000000"/>
                <w:spacing w:val="-10"/>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rPr>
                <w:rFonts w:ascii="宋体" w:hAnsi="宋体"/>
                <w:szCs w:val="21"/>
                <w:highlight w:val="none"/>
              </w:rPr>
            </w:pPr>
            <w:r>
              <w:rPr>
                <w:rFonts w:hint="eastAsia" w:ascii="宋体" w:hAnsi="宋体"/>
                <w:szCs w:val="21"/>
                <w:highlight w:val="none"/>
              </w:rPr>
              <w:t>销售</w:t>
            </w:r>
            <w:r>
              <w:rPr>
                <w:rFonts w:hint="eastAsia" w:ascii="宋体" w:hAnsi="宋体"/>
                <w:szCs w:val="21"/>
                <w:highlight w:val="none"/>
                <w:lang w:eastAsia="zh-CN"/>
              </w:rPr>
              <w:t>流程</w:t>
            </w:r>
            <w:r>
              <w:rPr>
                <w:rFonts w:hint="eastAsia" w:ascii="宋体" w:hAnsi="宋体"/>
                <w:szCs w:val="21"/>
                <w:highlight w:val="none"/>
              </w:rPr>
              <w:t>：</w:t>
            </w:r>
          </w:p>
          <w:p>
            <w:pPr>
              <w:tabs>
                <w:tab w:val="left" w:pos="2385"/>
              </w:tabs>
              <w:spacing w:line="360" w:lineRule="auto"/>
              <w:rPr>
                <w:rFonts w:hint="eastAsia" w:ascii="宋体" w:hAnsi="宋体" w:cs="Times New Roman"/>
                <w:szCs w:val="21"/>
                <w:highlight w:val="none"/>
                <w:lang w:eastAsia="zh-CN"/>
              </w:rPr>
            </w:pPr>
            <w:r>
              <w:rPr>
                <w:rFonts w:hint="eastAsia" w:ascii="宋体" w:hAnsi="宋体"/>
                <w:bCs/>
              </w:rPr>
              <w:t>联系客户—业务洽谈—合同签订—采购产品—检验—产品销售—客户签收—售后服务</w:t>
            </w:r>
            <w:r>
              <w:rPr>
                <w:rFonts w:hint="eastAsia" w:ascii="宋体" w:hAnsi="宋体" w:cs="Times New Roman"/>
                <w:szCs w:val="21"/>
                <w:highlight w:val="none"/>
                <w:lang w:eastAsia="zh-CN"/>
              </w:rPr>
              <w:t>。</w:t>
            </w:r>
          </w:p>
          <w:p>
            <w:pPr>
              <w:rPr>
                <w:rFonts w:ascii="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关键过程有：销售为关键过程。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r>
              <w:rPr>
                <w:rFonts w:hint="eastAsia" w:ascii="宋体" w:hAnsi="宋体"/>
                <w:color w:val="000000"/>
                <w:sz w:val="20"/>
                <w:szCs w:val="20"/>
              </w:rPr>
              <w:t>采购控制程序、销售过程控制程序、与顾客有关的过程控制程序、顾客满意度监视测量程序等。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szCs w:val="21"/>
                <w:highlight w:val="none"/>
              </w:rPr>
            </w:pPr>
            <w:r>
              <w:rPr>
                <w:rFonts w:hint="eastAsia" w:ascii="宋体"/>
                <w:color w:val="000000"/>
                <w:sz w:val="20"/>
                <w:szCs w:val="20"/>
              </w:rPr>
              <w:t>监视和测量设备（请简述主要监视和测量设备）：</w:t>
            </w: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szCs w:val="21"/>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针对重要环境因素建立了运行控制程序：有（1）环境因素识别与评价控制程序；（2）运行控制程序。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rFonts w:hint="eastAsia" w:ascii="宋体" w:hAnsi="宋体"/>
                <w:szCs w:val="21"/>
                <w:highlight w:val="none"/>
              </w:rPr>
              <w:t>火灾、触电</w:t>
            </w:r>
            <w:r>
              <w:rPr>
                <w:rFonts w:hint="eastAsia" w:ascii="宋体" w:hAnsi="宋体"/>
                <w:szCs w:val="21"/>
                <w:highlight w:val="none"/>
                <w:lang w:eastAsia="zh-CN"/>
              </w:rPr>
              <w:t>、</w:t>
            </w:r>
            <w:r>
              <w:rPr>
                <w:rFonts w:hint="eastAsia" w:ascii="宋体" w:hAnsi="宋体"/>
                <w:szCs w:val="21"/>
                <w:highlight w:val="none"/>
                <w:lang w:val="en-US" w:eastAsia="zh-CN"/>
              </w:rPr>
              <w:t>意外交通伤害</w:t>
            </w:r>
            <w:r>
              <w:rPr>
                <w:rFonts w:hint="eastAsia" w:ascii="宋体" w:hAnsi="宋体"/>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有（1）危险源辨识、风险评价控制程序；</w:t>
            </w:r>
            <w:r>
              <w:rPr>
                <w:rFonts w:hint="eastAsia" w:ascii="宋体"/>
                <w:color w:val="000000"/>
                <w:sz w:val="20"/>
                <w:szCs w:val="20"/>
              </w:rPr>
              <w:t>（2）运行控制程序。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highlight w:val="none"/>
              </w:rPr>
            </w:pPr>
            <w:r>
              <w:rPr>
                <w:rFonts w:hint="eastAsia" w:ascii="宋体" w:hAnsi="宋体"/>
                <w:b/>
                <w:color w:val="000000"/>
                <w:szCs w:val="21"/>
                <w:highlight w:val="none"/>
              </w:rPr>
              <w:t>▲了解受审核方员工人数</w:t>
            </w:r>
            <w:r>
              <w:rPr>
                <w:rFonts w:ascii="宋体" w:hAnsi="宋体"/>
                <w:b/>
                <w:color w:val="000000"/>
                <w:szCs w:val="21"/>
                <w:highlight w:val="none"/>
              </w:rPr>
              <w:t>(</w:t>
            </w:r>
            <w:r>
              <w:rPr>
                <w:rFonts w:hint="eastAsia" w:ascii="宋体" w:hAnsi="宋体"/>
                <w:b/>
                <w:color w:val="000000"/>
                <w:szCs w:val="21"/>
                <w:highlight w:val="none"/>
              </w:rPr>
              <w:t>应包括管理人员、固定多场所人员、临时现场人员</w:t>
            </w:r>
            <w:r>
              <w:rPr>
                <w:rFonts w:ascii="宋体" w:hAnsi="宋体"/>
                <w:b/>
                <w:color w:val="000000"/>
                <w:szCs w:val="21"/>
                <w:highlight w:val="none"/>
              </w:rPr>
              <w:t xml:space="preserve">);  </w:t>
            </w:r>
          </w:p>
          <w:p>
            <w:pPr>
              <w:spacing w:line="360" w:lineRule="auto"/>
              <w:rPr>
                <w:rFonts w:ascii="宋体"/>
                <w:color w:val="000000"/>
                <w:sz w:val="20"/>
                <w:szCs w:val="20"/>
                <w:highlight w:val="none"/>
              </w:rPr>
            </w:pPr>
            <w:r>
              <w:rPr>
                <w:rFonts w:hint="eastAsia" w:ascii="宋体"/>
                <w:color w:val="000000"/>
                <w:sz w:val="20"/>
                <w:szCs w:val="20"/>
                <w:highlight w:val="none"/>
              </w:rPr>
              <w:t>组织员工人数：</w:t>
            </w:r>
            <w:r>
              <w:rPr>
                <w:rFonts w:hint="eastAsia" w:ascii="宋体"/>
                <w:color w:val="000000"/>
                <w:sz w:val="20"/>
                <w:szCs w:val="20"/>
                <w:highlight w:val="none"/>
                <w:lang w:val="en-US" w:eastAsia="zh-CN"/>
              </w:rPr>
              <w:t>22</w:t>
            </w:r>
            <w:r>
              <w:rPr>
                <w:rFonts w:hint="eastAsia" w:ascii="宋体"/>
                <w:color w:val="000000"/>
                <w:sz w:val="20"/>
                <w:szCs w:val="20"/>
                <w:highlight w:val="none"/>
              </w:rPr>
              <w:t>人，其中管理人员：</w:t>
            </w:r>
            <w:r>
              <w:rPr>
                <w:rFonts w:hint="eastAsia" w:ascii="宋体"/>
                <w:color w:val="000000"/>
                <w:sz w:val="20"/>
                <w:szCs w:val="20"/>
                <w:highlight w:val="none"/>
                <w:lang w:val="en-US" w:eastAsia="zh-CN"/>
              </w:rPr>
              <w:t>5</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highlight w:val="none"/>
              </w:rPr>
            </w:pPr>
            <w:r>
              <w:rPr>
                <w:rFonts w:hint="eastAsia" w:ascii="宋体" w:hAnsi="宋体"/>
                <w:b/>
                <w:color w:val="000000"/>
                <w:szCs w:val="21"/>
                <w:highlight w:val="none"/>
              </w:rPr>
              <w:t>▲依据场所分布、距离</w:t>
            </w:r>
            <w:r>
              <w:rPr>
                <w:rFonts w:ascii="宋体" w:hAnsi="宋体"/>
                <w:b/>
                <w:color w:val="000000"/>
                <w:szCs w:val="21"/>
                <w:highlight w:val="none"/>
              </w:rPr>
              <w:t xml:space="preserve">;   </w:t>
            </w:r>
          </w:p>
          <w:p>
            <w:pPr>
              <w:spacing w:line="260" w:lineRule="exact"/>
              <w:rPr>
                <w:rFonts w:ascii="宋体"/>
                <w:b/>
                <w:color w:val="000000"/>
                <w:szCs w:val="21"/>
                <w:highlight w:val="none"/>
              </w:rPr>
            </w:pPr>
          </w:p>
          <w:p>
            <w:pPr>
              <w:spacing w:line="260" w:lineRule="exact"/>
              <w:rPr>
                <w:rFonts w:ascii="宋体"/>
                <w:b/>
                <w:color w:val="000000"/>
                <w:szCs w:val="21"/>
                <w:highlight w:val="none"/>
              </w:rPr>
            </w:pPr>
          </w:p>
          <w:p>
            <w:pPr>
              <w:spacing w:line="260" w:lineRule="exact"/>
              <w:rPr>
                <w:rFonts w:ascii="宋体"/>
                <w:b/>
                <w:color w:val="000000"/>
                <w:sz w:val="16"/>
                <w:szCs w:val="16"/>
                <w:highlight w:val="none"/>
              </w:rPr>
            </w:pPr>
            <w:r>
              <w:rPr>
                <w:rFonts w:hint="eastAsia" w:ascii="宋体" w:hAnsi="宋体"/>
                <w:b/>
                <w:color w:val="000000"/>
                <w:szCs w:val="21"/>
                <w:highlight w:val="none"/>
              </w:rPr>
              <w:t>▲一阶段确认范围与申请评审范围有变化时对人员和审核人日的要求</w:t>
            </w:r>
            <w:r>
              <w:rPr>
                <w:rFonts w:ascii="宋体" w:hAnsi="宋体"/>
                <w:b/>
                <w:color w:val="000000"/>
                <w:sz w:val="16"/>
                <w:szCs w:val="16"/>
                <w:highlight w:val="none"/>
              </w:rPr>
              <w:t xml:space="preserve">. </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增加专业审核员：</w:t>
            </w:r>
          </w:p>
          <w:p>
            <w:pPr>
              <w:spacing w:line="360" w:lineRule="auto"/>
              <w:rPr>
                <w:rFonts w:ascii="宋体"/>
                <w:b/>
                <w:color w:val="000000"/>
                <w:szCs w:val="21"/>
                <w:highlight w:val="red"/>
              </w:rPr>
            </w:pPr>
            <w:r>
              <w:rPr>
                <w:rFonts w:hint="eastAsia" w:ascii="宋体" w:hAnsi="宋体"/>
                <w:b/>
                <w:color w:val="000000"/>
                <w:szCs w:val="21"/>
                <w:highlight w:val="none"/>
              </w:rPr>
              <w:t>□</w:t>
            </w:r>
            <w:r>
              <w:rPr>
                <w:rFonts w:hint="eastAsia" w:ascii="宋体"/>
                <w:b/>
                <w:color w:val="000000"/>
                <w:szCs w:val="21"/>
                <w:highlight w:val="none"/>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highlight w:val="none"/>
              </w:rPr>
            </w:pPr>
            <w:r>
              <w:rPr>
                <w:rFonts w:hint="eastAsia" w:ascii="宋体" w:hAnsi="宋体"/>
                <w:b/>
                <w:color w:val="000000"/>
                <w:szCs w:val="21"/>
                <w:highlight w:val="none"/>
              </w:rPr>
              <w:t>一阶段审核组长对二阶段审核所需资源</w:t>
            </w:r>
            <w:r>
              <w:rPr>
                <w:rFonts w:ascii="宋体" w:hAnsi="宋体"/>
                <w:b/>
                <w:color w:val="000000"/>
                <w:szCs w:val="21"/>
                <w:highlight w:val="none"/>
              </w:rPr>
              <w:t>(</w:t>
            </w:r>
            <w:r>
              <w:rPr>
                <w:rFonts w:hint="eastAsia" w:ascii="宋体" w:hAnsi="宋体"/>
                <w:b/>
                <w:color w:val="000000"/>
                <w:szCs w:val="21"/>
                <w:highlight w:val="none"/>
              </w:rPr>
              <w:t>包括拟派人员的资格、能力、审核人日</w:t>
            </w:r>
            <w:r>
              <w:rPr>
                <w:rFonts w:ascii="宋体" w:hAnsi="宋体"/>
                <w:b/>
                <w:color w:val="000000"/>
                <w:szCs w:val="21"/>
                <w:highlight w:val="none"/>
              </w:rPr>
              <w:t>)</w:t>
            </w:r>
            <w:r>
              <w:rPr>
                <w:rFonts w:hint="eastAsia" w:ascii="宋体" w:hAnsi="宋体"/>
                <w:b/>
                <w:color w:val="000000"/>
                <w:szCs w:val="21"/>
                <w:highlight w:val="none"/>
              </w:rPr>
              <w:t>的建议</w:t>
            </w:r>
          </w:p>
          <w:p>
            <w:pPr>
              <w:spacing w:line="260" w:lineRule="exact"/>
              <w:rPr>
                <w:rFonts w:ascii="宋体"/>
                <w:b/>
                <w:color w:val="000000"/>
                <w:szCs w:val="21"/>
                <w:highlight w:val="none"/>
              </w:rPr>
            </w:pPr>
          </w:p>
          <w:p>
            <w:pPr>
              <w:spacing w:line="360" w:lineRule="auto"/>
              <w:rPr>
                <w:rFonts w:ascii="宋体"/>
                <w:b/>
                <w:color w:val="000000"/>
                <w:szCs w:val="21"/>
                <w:highlight w:val="none"/>
              </w:rPr>
            </w:pPr>
            <w:r>
              <w:rPr>
                <w:rFonts w:hint="eastAsia" w:ascii="宋体" w:hAnsi="宋体"/>
                <w:b/>
                <w:color w:val="000000"/>
                <w:szCs w:val="21"/>
              </w:rPr>
              <w:t>■</w:t>
            </w:r>
            <w:r>
              <w:rPr>
                <w:rFonts w:hint="eastAsia" w:ascii="宋体"/>
                <w:b/>
                <w:color w:val="000000"/>
                <w:szCs w:val="21"/>
                <w:highlight w:val="none"/>
              </w:rPr>
              <w:t>按审核方案执行</w:t>
            </w:r>
          </w:p>
          <w:p>
            <w:pPr>
              <w:spacing w:line="360" w:lineRule="auto"/>
              <w:rPr>
                <w:rFonts w:ascii="宋体"/>
                <w:b/>
                <w:color w:val="000000"/>
                <w:szCs w:val="21"/>
                <w:highlight w:val="none"/>
              </w:rPr>
            </w:pPr>
            <w:r>
              <w:rPr>
                <w:rFonts w:hint="eastAsia" w:ascii="宋体" w:hAnsi="宋体"/>
                <w:b/>
                <w:color w:val="000000"/>
                <w:szCs w:val="21"/>
                <w:highlight w:val="none"/>
              </w:rPr>
              <w:t>□</w:t>
            </w:r>
            <w:r>
              <w:rPr>
                <w:rFonts w:hint="eastAsia" w:ascii="宋体"/>
                <w:b/>
                <w:color w:val="000000"/>
                <w:szCs w:val="21"/>
                <w:highlight w:val="none"/>
              </w:rPr>
              <w:t>调整审核方案的理由：</w:t>
            </w:r>
          </w:p>
          <w:p>
            <w:pPr>
              <w:spacing w:line="360" w:lineRule="auto"/>
              <w:rPr>
                <w:rFonts w:ascii="宋体"/>
                <w:b/>
                <w:color w:val="000000"/>
                <w:szCs w:val="21"/>
                <w:highlight w:val="red"/>
              </w:rPr>
            </w:pPr>
            <w:r>
              <w:rPr>
                <w:rFonts w:hint="eastAsia" w:ascii="宋体" w:hAnsi="宋体"/>
                <w:b/>
                <w:color w:val="000000"/>
                <w:szCs w:val="21"/>
                <w:highlight w:val="none"/>
              </w:rPr>
              <w:t>□</w:t>
            </w:r>
            <w:r>
              <w:rPr>
                <w:rFonts w:hint="eastAsia" w:ascii="宋体"/>
                <w:b/>
                <w:color w:val="000000"/>
                <w:szCs w:val="21"/>
                <w:highlight w:val="none"/>
              </w:rPr>
              <w:t>增加专业审核员</w:t>
            </w:r>
            <w:r>
              <w:rPr>
                <w:rFonts w:hint="eastAsia" w:ascii="宋体" w:hAnsi="宋体"/>
                <w:b/>
                <w:color w:val="000000"/>
                <w:szCs w:val="21"/>
                <w:highlight w:val="none"/>
              </w:rPr>
              <w:t>□</w:t>
            </w:r>
            <w:r>
              <w:rPr>
                <w:rFonts w:hint="eastAsia" w:ascii="宋体"/>
                <w:b/>
                <w:color w:val="000000"/>
                <w:szCs w:val="21"/>
                <w:highlight w:val="none"/>
              </w:rPr>
              <w:t>增加技术专家</w:t>
            </w:r>
            <w:r>
              <w:rPr>
                <w:rFonts w:hint="eastAsia" w:ascii="宋体" w:hAnsi="宋体"/>
                <w:b/>
                <w:color w:val="000000"/>
                <w:szCs w:val="21"/>
                <w:highlight w:val="none"/>
              </w:rPr>
              <w:t>□</w:t>
            </w:r>
            <w:r>
              <w:rPr>
                <w:rFonts w:hint="eastAsia" w:ascii="宋体"/>
                <w:b/>
                <w:color w:val="000000"/>
                <w:szCs w:val="21"/>
                <w:highlight w:val="none"/>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经营部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lang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lang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w:t>
            </w:r>
            <w:r>
              <w:rPr>
                <w:rFonts w:hint="eastAsia" w:ascii="Times New Roman" w:hAnsi="Times New Roman" w:eastAsia="宋体" w:cs="Times New Roman"/>
                <w:szCs w:val="21"/>
              </w:rPr>
              <w:t>于 2020年8月16-17日进行了内部审核。内部审核组由：林立杰（综合部）A</w:t>
            </w:r>
            <w:r>
              <w:rPr>
                <w:rFonts w:hint="eastAsia" w:ascii="Times New Roman" w:hAnsi="Times New Roman" w:eastAsia="宋体" w:cs="Times New Roman"/>
                <w:szCs w:val="21"/>
                <w:lang w:eastAsia="zh-CN"/>
              </w:rPr>
              <w:t>（组长）、</w:t>
            </w:r>
            <w:r>
              <w:rPr>
                <w:rFonts w:hint="eastAsia" w:ascii="Times New Roman" w:hAnsi="Times New Roman" w:eastAsia="宋体" w:cs="Times New Roman"/>
                <w:szCs w:val="21"/>
              </w:rPr>
              <w:t>华洋（经营部）B</w:t>
            </w:r>
            <w:r>
              <w:rPr>
                <w:rFonts w:hint="eastAsia" w:ascii="Times New Roman" w:hAnsi="Times New Roman" w:eastAsia="宋体" w:cs="Times New Roman"/>
                <w:szCs w:val="21"/>
                <w:lang w:eastAsia="zh-CN"/>
              </w:rPr>
              <w:t>（组员）</w:t>
            </w:r>
            <w:r>
              <w:rPr>
                <w:rFonts w:hint="eastAsia" w:ascii="Times New Roman" w:hAnsi="Times New Roman" w:eastAsia="宋体" w:cs="Times New Roman"/>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2、审核准则：a.Q.GB/T 19001-2016idtISO 9001:2015,E：GB/T 24001-2016idtISO 14001:2015,O：ISO 45001：2018标准； b</w:t>
            </w:r>
            <w:r>
              <w:rPr>
                <w:rFonts w:hint="eastAsia"/>
                <w:szCs w:val="21"/>
                <w:lang w:val="en-US" w:eastAsia="zh-CN"/>
              </w:rPr>
              <w:t>.</w:t>
            </w:r>
            <w:r>
              <w:rPr>
                <w:rFonts w:hint="eastAsia"/>
                <w:szCs w:val="21"/>
              </w:rPr>
              <w:t>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Times New Roman" w:hAnsi="Times New Roman" w:eastAsia="宋体" w:cs="Times New Roman"/>
                <w:szCs w:val="21"/>
              </w:rPr>
              <w:t>2020年8月25日就</w:t>
            </w:r>
            <w:r>
              <w:rPr>
                <w:rFonts w:hint="eastAsia"/>
                <w:szCs w:val="21"/>
              </w:rPr>
              <w:t>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rPr>
              <w:t>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w:t>
      </w:r>
      <w:r>
        <w:rPr>
          <w:rFonts w:hint="eastAsia" w:ascii="宋体" w:hAnsi="宋体"/>
          <w:szCs w:val="21"/>
        </w:rPr>
        <w:t>交通工程材料、金属制品（不含稀贵金属）、不锈钢制品的销售</w:t>
      </w:r>
      <w:r>
        <w:rPr>
          <w:rFonts w:hint="eastAsia" w:ascii="宋体" w:hAnsi="宋体"/>
          <w:szCs w:val="21"/>
          <w:lang w:eastAsia="zh-CN"/>
        </w:rPr>
        <w:t>。</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交通工程材料、金属制品（不含稀贵金属）、不锈钢制品的销售所涉及的相关环境管理活动</w:t>
      </w:r>
      <w:r>
        <w:rPr>
          <w:rFonts w:hint="eastAsia" w:ascii="宋体" w:hAnsi="宋体"/>
          <w:szCs w:val="21"/>
          <w:lang w:eastAsia="zh-CN"/>
        </w:rPr>
        <w:t>。</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交通工程材料、金属制品（不含稀贵金属）、不锈钢制品的销售所涉及的相关职业健康安全管理活动</w:t>
      </w:r>
      <w:r>
        <w:rPr>
          <w:rFonts w:hint="eastAsia" w:ascii="宋体" w:hAnsi="宋体"/>
          <w:szCs w:val="21"/>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bookmarkStart w:id="25" w:name="_GoBack"/>
      <w:bookmarkEnd w:id="25"/>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2020.9.15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w:t>
            </w:r>
            <w:r>
              <w:rPr>
                <w:rFonts w:hint="eastAsia"/>
                <w:b/>
                <w:color w:val="000000"/>
                <w:spacing w:val="-10"/>
                <w:szCs w:val="21"/>
                <w:lang w:eastAsia="zh-CN"/>
              </w:rPr>
              <w:t>现场</w:t>
            </w:r>
            <w:r>
              <w:rPr>
                <w:rFonts w:hint="eastAsia"/>
                <w:b/>
                <w:color w:val="000000"/>
                <w:spacing w:val="-10"/>
                <w:szCs w:val="21"/>
              </w:rPr>
              <w:t>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534" w:firstLineChars="1600"/>
              <w:rPr>
                <w:rFonts w:hint="eastAsia" w:eastAsia="宋体"/>
                <w:b/>
                <w:color w:val="000000"/>
                <w:sz w:val="22"/>
                <w:szCs w:val="22"/>
                <w:lang w:eastAsia="zh-CN"/>
              </w:rPr>
            </w:pPr>
            <w:r>
              <w:rPr>
                <w:rFonts w:hint="eastAsia"/>
                <w:b/>
                <w:color w:val="000000"/>
                <w:sz w:val="22"/>
                <w:szCs w:val="22"/>
              </w:rPr>
              <w:t>日期：</w:t>
            </w:r>
            <w:r>
              <w:rPr>
                <w:rFonts w:hint="eastAsia"/>
                <w:b/>
                <w:color w:val="000000"/>
                <w:sz w:val="22"/>
                <w:szCs w:val="22"/>
                <w:lang w:eastAsia="zh-CN"/>
              </w:rPr>
              <w:t>2020年9月15日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eastAsia="宋体"/>
                <w:b/>
                <w:color w:val="000000"/>
                <w:sz w:val="22"/>
                <w:szCs w:val="22"/>
                <w:lang w:eastAsia="zh-CN"/>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2020年9月15日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rFonts w:hint="eastAsia"/>
                <w:b/>
                <w:color w:val="000000"/>
                <w:sz w:val="22"/>
                <w:szCs w:val="22"/>
              </w:rPr>
            </w:pPr>
            <w:r>
              <w:rPr>
                <w:rFonts w:hint="eastAsia"/>
                <w:b/>
                <w:color w:val="000000"/>
                <w:sz w:val="22"/>
                <w:szCs w:val="22"/>
              </w:rPr>
              <w:t xml:space="preserve">验证人：                       </w:t>
            </w:r>
          </w:p>
          <w:p>
            <w:pPr>
              <w:spacing w:line="280" w:lineRule="exact"/>
              <w:ind w:firstLine="3534" w:firstLineChars="1600"/>
              <w:rPr>
                <w:rFonts w:hint="eastAsia" w:eastAsia="宋体"/>
                <w:b/>
                <w:color w:val="000000"/>
                <w:sz w:val="22"/>
                <w:szCs w:val="22"/>
                <w:lang w:eastAsia="zh-CN"/>
              </w:rPr>
            </w:pPr>
            <w:r>
              <w:rPr>
                <w:rFonts w:hint="eastAsia"/>
                <w:b/>
                <w:color w:val="000000"/>
                <w:sz w:val="22"/>
                <w:szCs w:val="22"/>
              </w:rPr>
              <w:t xml:space="preserve"> 日期：</w:t>
            </w:r>
            <w:r>
              <w:rPr>
                <w:rFonts w:hint="eastAsia"/>
                <w:b/>
                <w:color w:val="000000"/>
                <w:sz w:val="22"/>
                <w:szCs w:val="22"/>
                <w:lang w:eastAsia="zh-CN"/>
              </w:rPr>
              <w:t>2020年9月15日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C7DCC"/>
    <w:rsid w:val="0E3031AD"/>
    <w:rsid w:val="20B839D8"/>
    <w:rsid w:val="29F25479"/>
    <w:rsid w:val="3171305B"/>
    <w:rsid w:val="34C353C2"/>
    <w:rsid w:val="49A71A19"/>
    <w:rsid w:val="5974207F"/>
    <w:rsid w:val="69994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2020-09-16T06:29:37Z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