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140"/>
        <w:gridCol w:w="2330"/>
        <w:gridCol w:w="49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140" w:type="dxa"/>
            <w:vAlign w:val="center"/>
          </w:tcPr>
          <w:p>
            <w:pPr>
              <w:jc w:val="center"/>
              <w:rPr>
                <w:b/>
                <w:sz w:val="21"/>
                <w:szCs w:val="21"/>
              </w:rPr>
            </w:pPr>
            <w:r>
              <w:rPr>
                <w:rFonts w:hint="eastAsia"/>
                <w:b/>
                <w:sz w:val="21"/>
                <w:szCs w:val="21"/>
              </w:rPr>
              <w:t>注册级别</w:t>
            </w:r>
          </w:p>
        </w:tc>
        <w:tc>
          <w:tcPr>
            <w:tcW w:w="2330" w:type="dxa"/>
            <w:vAlign w:val="center"/>
          </w:tcPr>
          <w:p>
            <w:pPr>
              <w:jc w:val="center"/>
              <w:rPr>
                <w:b/>
                <w:sz w:val="21"/>
                <w:szCs w:val="21"/>
              </w:rPr>
            </w:pPr>
            <w:r>
              <w:rPr>
                <w:rFonts w:hint="eastAsia"/>
                <w:b/>
                <w:sz w:val="21"/>
                <w:szCs w:val="21"/>
              </w:rPr>
              <w:t>审核员注册号</w:t>
            </w:r>
          </w:p>
        </w:tc>
        <w:tc>
          <w:tcPr>
            <w:tcW w:w="123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140" w:type="dxa"/>
            <w:vAlign w:val="center"/>
          </w:tcPr>
          <w:p>
            <w:pPr>
              <w:jc w:val="center"/>
              <w:rPr>
                <w:b/>
                <w:sz w:val="21"/>
                <w:szCs w:val="21"/>
              </w:rPr>
            </w:pPr>
            <w:r>
              <w:rPr>
                <w:b/>
                <w:sz w:val="21"/>
                <w:szCs w:val="21"/>
              </w:rPr>
              <w:t>审核员</w:t>
            </w:r>
          </w:p>
        </w:tc>
        <w:tc>
          <w:tcPr>
            <w:tcW w:w="2330" w:type="dxa"/>
            <w:vAlign w:val="center"/>
          </w:tcPr>
          <w:p>
            <w:pPr>
              <w:jc w:val="center"/>
              <w:rPr>
                <w:b/>
                <w:sz w:val="21"/>
                <w:szCs w:val="21"/>
              </w:rPr>
            </w:pPr>
            <w:r>
              <w:rPr>
                <w:b/>
                <w:sz w:val="21"/>
                <w:szCs w:val="21"/>
              </w:rPr>
              <w:t>2018-N1EMS-1222792</w:t>
            </w:r>
          </w:p>
        </w:tc>
        <w:tc>
          <w:tcPr>
            <w:tcW w:w="1234"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140" w:type="dxa"/>
          </w:tcPr>
          <w:p>
            <w:pPr>
              <w:rPr>
                <w:b/>
                <w:sz w:val="21"/>
                <w:szCs w:val="21"/>
              </w:rPr>
            </w:pPr>
          </w:p>
        </w:tc>
        <w:tc>
          <w:tcPr>
            <w:tcW w:w="2330" w:type="dxa"/>
          </w:tcPr>
          <w:p>
            <w:pPr>
              <w:rPr>
                <w:b/>
                <w:sz w:val="21"/>
                <w:szCs w:val="21"/>
              </w:rPr>
            </w:pPr>
          </w:p>
        </w:tc>
        <w:tc>
          <w:tcPr>
            <w:tcW w:w="1234"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24"/>
        <w:gridCol w:w="1942"/>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965"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69" w:type="dxa"/>
            <w:gridSpan w:val="4"/>
            <w:vAlign w:val="center"/>
          </w:tcPr>
          <w:p>
            <w:pPr>
              <w:spacing w:line="260" w:lineRule="exact"/>
              <w:jc w:val="center"/>
              <w:rPr>
                <w:rFonts w:ascii="宋体"/>
                <w:b/>
                <w:color w:val="FF0000"/>
                <w:sz w:val="21"/>
              </w:rPr>
            </w:pPr>
            <w:bookmarkStart w:id="10" w:name="组织名称Add"/>
            <w:r>
              <w:rPr>
                <w:rFonts w:ascii="宋体"/>
                <w:b/>
                <w:sz w:val="21"/>
                <w:szCs w:val="22"/>
              </w:rPr>
              <w:t>陕西石竹能源科技有限公司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ascii="宋体"/>
                <w:b/>
                <w:sz w:val="21"/>
              </w:rPr>
            </w:pPr>
            <w:r>
              <w:rPr>
                <w:rFonts w:hint="eastAsia" w:ascii="宋体" w:hAnsi="宋体"/>
                <w:b/>
                <w:color w:val="000000" w:themeColor="text1"/>
                <w:sz w:val="20"/>
                <w:szCs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5" w:type="dxa"/>
            <w:gridSpan w:val="2"/>
            <w:vAlign w:val="center"/>
          </w:tcPr>
          <w:p>
            <w:pPr>
              <w:jc w:val="center"/>
              <w:rPr>
                <w:b/>
                <w:sz w:val="16"/>
                <w:szCs w:val="16"/>
              </w:rPr>
            </w:pPr>
            <w:r>
              <w:rPr>
                <w:rFonts w:hint="eastAsia" w:ascii="宋体" w:hAnsi="宋体"/>
                <w:b/>
                <w:sz w:val="21"/>
                <w:szCs w:val="21"/>
              </w:rPr>
              <w:t>注册地址</w:t>
            </w:r>
          </w:p>
        </w:tc>
        <w:tc>
          <w:tcPr>
            <w:tcW w:w="4669" w:type="dxa"/>
            <w:gridSpan w:val="4"/>
            <w:vAlign w:val="center"/>
          </w:tcPr>
          <w:p>
            <w:pPr>
              <w:jc w:val="center"/>
              <w:rPr>
                <w:rFonts w:ascii="宋体"/>
                <w:b/>
                <w:sz w:val="21"/>
              </w:rPr>
            </w:pPr>
            <w:bookmarkStart w:id="11" w:name="注册地址"/>
            <w:r>
              <w:rPr>
                <w:rFonts w:ascii="宋体"/>
                <w:b/>
                <w:sz w:val="21"/>
              </w:rPr>
              <w:t>陕西省咸阳市秦都区高新技术开发区西里路9号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bookmarkStart w:id="12" w:name="注册邮编"/>
            <w:r>
              <w:rPr>
                <w:rFonts w:ascii="宋体"/>
                <w:b/>
                <w:sz w:val="21"/>
              </w:rPr>
              <w:t>712023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65" w:type="dxa"/>
            <w:gridSpan w:val="2"/>
            <w:vAlign w:val="center"/>
          </w:tcPr>
          <w:p>
            <w:pPr>
              <w:jc w:val="center"/>
              <w:rPr>
                <w:rFonts w:ascii="宋体"/>
                <w:b/>
                <w:sz w:val="21"/>
                <w:szCs w:val="21"/>
              </w:rPr>
            </w:pPr>
            <w:r>
              <w:rPr>
                <w:rFonts w:hint="eastAsia" w:ascii="宋体" w:hAnsi="宋体"/>
                <w:b/>
                <w:sz w:val="21"/>
                <w:szCs w:val="21"/>
              </w:rPr>
              <w:t>经营地址</w:t>
            </w:r>
          </w:p>
        </w:tc>
        <w:tc>
          <w:tcPr>
            <w:tcW w:w="4669" w:type="dxa"/>
            <w:gridSpan w:val="4"/>
            <w:vAlign w:val="center"/>
          </w:tcPr>
          <w:p>
            <w:pPr>
              <w:jc w:val="center"/>
              <w:rPr>
                <w:rFonts w:ascii="宋体"/>
                <w:b/>
                <w:sz w:val="21"/>
              </w:rPr>
            </w:pPr>
            <w:bookmarkStart w:id="13" w:name="办公地址"/>
            <w:r>
              <w:rPr>
                <w:rFonts w:ascii="宋体"/>
                <w:b/>
                <w:sz w:val="21"/>
              </w:rPr>
              <w:t>陕西省咸阳市秦都区高新技术开发区西里路9号</w:t>
            </w:r>
            <w:bookmarkEnd w:id="13"/>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4" w:name="办公邮编"/>
            <w:r>
              <w:rPr>
                <w:rFonts w:ascii="宋体"/>
                <w:b/>
                <w:sz w:val="21"/>
              </w:rPr>
              <w:t>712023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65"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669" w:type="dxa"/>
            <w:gridSpan w:val="4"/>
            <w:vAlign w:val="center"/>
          </w:tcPr>
          <w:p>
            <w:pPr>
              <w:jc w:val="center"/>
              <w:rPr>
                <w:rFonts w:ascii="宋体"/>
                <w:b/>
                <w:sz w:val="21"/>
              </w:rPr>
            </w:pPr>
            <w:bookmarkStart w:id="15" w:name="生产地址Add"/>
            <w:r>
              <w:rPr>
                <w:rFonts w:ascii="宋体"/>
                <w:b/>
                <w:sz w:val="21"/>
              </w:rPr>
              <w:t>陕西省咸阳市秦都区高新技术开发区西里路9号</w:t>
            </w:r>
            <w:bookmarkEnd w:id="15"/>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6" w:name="生产邮编"/>
            <w:r>
              <w:rPr>
                <w:rFonts w:ascii="宋体"/>
                <w:b/>
                <w:sz w:val="21"/>
              </w:rPr>
              <w:t>712023</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965" w:type="dxa"/>
            <w:gridSpan w:val="2"/>
            <w:vAlign w:val="center"/>
          </w:tcPr>
          <w:p>
            <w:pPr>
              <w:jc w:val="center"/>
              <w:rPr>
                <w:rFonts w:ascii="宋体"/>
                <w:b/>
                <w:sz w:val="21"/>
              </w:rPr>
            </w:pPr>
            <w:r>
              <w:rPr>
                <w:rFonts w:hint="eastAsia" w:ascii="宋体" w:hAnsi="宋体"/>
                <w:b/>
                <w:sz w:val="21"/>
              </w:rPr>
              <w:t>联系人</w:t>
            </w:r>
          </w:p>
        </w:tc>
        <w:tc>
          <w:tcPr>
            <w:tcW w:w="1942" w:type="dxa"/>
          </w:tcPr>
          <w:p>
            <w:pPr>
              <w:rPr>
                <w:rFonts w:ascii="宋体"/>
                <w:b/>
                <w:sz w:val="21"/>
              </w:rPr>
            </w:pPr>
            <w:bookmarkStart w:id="17" w:name="联系人"/>
            <w:r>
              <w:rPr>
                <w:rFonts w:ascii="宋体"/>
                <w:b/>
                <w:sz w:val="21"/>
              </w:rPr>
              <w:t>魏春鸽</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029-33613967</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942" w:type="dxa"/>
            <w:vAlign w:val="center"/>
          </w:tcPr>
          <w:p>
            <w:pPr>
              <w:jc w:val="center"/>
              <w:rPr>
                <w:rFonts w:ascii="宋体" w:hAnsi="宋体"/>
                <w:b/>
                <w:sz w:val="21"/>
                <w:szCs w:val="21"/>
              </w:rPr>
            </w:pPr>
            <w:bookmarkStart w:id="20" w:name="法人"/>
            <w:r>
              <w:rPr>
                <w:rFonts w:ascii="宋体" w:hAnsi="宋体"/>
                <w:b/>
                <w:sz w:val="21"/>
                <w:szCs w:val="21"/>
              </w:rPr>
              <w:t>吴承灿</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21" w:name="管理者代表"/>
            <w:r>
              <w:rPr>
                <w:rFonts w:ascii="宋体"/>
                <w:b/>
                <w:sz w:val="21"/>
              </w:rPr>
              <w:t>孙建新</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65"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51" w:type="dxa"/>
            <w:gridSpan w:val="2"/>
            <w:vAlign w:val="center"/>
          </w:tcPr>
          <w:p>
            <w:pPr>
              <w:rPr>
                <w:rFonts w:ascii="宋体" w:hAnsi="宋体"/>
                <w:b/>
                <w:sz w:val="21"/>
                <w:szCs w:val="21"/>
              </w:rPr>
            </w:pPr>
            <w:bookmarkStart w:id="22" w:name="审核日期"/>
            <w:r>
              <w:rPr>
                <w:rFonts w:ascii="宋体" w:hAnsi="宋体"/>
                <w:b/>
                <w:sz w:val="21"/>
                <w:szCs w:val="21"/>
              </w:rPr>
              <w:t>2020年09月17日 下午至2020年09月18日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965"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841"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 xml:space="preserve">：金属机加工件的生产及相关环境管理活动 </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924" w:type="dxa"/>
            <w:vAlign w:val="center"/>
          </w:tcPr>
          <w:p>
            <w:pPr>
              <w:spacing w:line="260" w:lineRule="exact"/>
              <w:jc w:val="center"/>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r>
              <w:rPr>
                <w:rFonts w:hint="eastAsia" w:ascii="宋体" w:hAnsi="宋体"/>
                <w:b/>
                <w:sz w:val="21"/>
                <w:szCs w:val="21"/>
              </w:rPr>
              <w:t>□否</w:t>
            </w:r>
          </w:p>
        </w:tc>
        <w:tc>
          <w:tcPr>
            <w:tcW w:w="7841" w:type="dxa"/>
            <w:gridSpan w:val="6"/>
            <w:vAlign w:val="center"/>
          </w:tcPr>
          <w:p>
            <w:pPr>
              <w:spacing w:line="360" w:lineRule="exact"/>
              <w:jc w:val="both"/>
              <w:rPr>
                <w:rFonts w:ascii="宋体" w:hAnsi="宋体"/>
                <w:b/>
                <w:sz w:val="21"/>
                <w:szCs w:val="21"/>
              </w:rPr>
            </w:pPr>
            <w:r>
              <w:rPr>
                <w:rFonts w:hint="eastAsia" w:ascii="宋体" w:hAnsi="宋体"/>
                <w:b/>
                <w:sz w:val="21"/>
                <w:szCs w:val="21"/>
              </w:rPr>
              <w:t>变更的认证范围</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5"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942" w:type="dxa"/>
            <w:vAlign w:val="center"/>
          </w:tcPr>
          <w:p>
            <w:pPr>
              <w:spacing w:line="260" w:lineRule="exact"/>
              <w:jc w:val="center"/>
              <w:rPr>
                <w:rFonts w:ascii="宋体" w:hAnsi="宋体"/>
                <w:b/>
                <w:sz w:val="21"/>
                <w:szCs w:val="21"/>
              </w:rPr>
            </w:pPr>
            <w:bookmarkStart w:id="27" w:name="专业代码"/>
            <w:r>
              <w:rPr>
                <w:rFonts w:ascii="宋体" w:hAnsi="宋体"/>
                <w:b/>
                <w:sz w:val="21"/>
                <w:szCs w:val="21"/>
              </w:rPr>
              <w:t>17.10.02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2022.7.31</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宋体"/>
                <w:b/>
                <w:sz w:val="21"/>
              </w:rPr>
            </w:pPr>
            <w:r>
              <w:rPr>
                <w:rFonts w:hint="eastAsia" w:ascii="宋体" w:hAnsi="宋体"/>
                <w:b/>
                <w:sz w:val="21"/>
                <w:szCs w:val="21"/>
                <w:lang w:val="en-US" w:eastAsia="zh-CN"/>
              </w:rPr>
              <w:t xml:space="preserve">2019.7.1   </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17</w:t>
      </w:r>
      <w:bookmarkStart w:id="28" w:name="_GoBack"/>
      <w:bookmarkEnd w:id="28"/>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rPr>
                <w:rFonts w:hint="eastAsia"/>
                <w:u w:val="single"/>
              </w:rPr>
            </w:pPr>
            <w:r>
              <w:rPr>
                <w:rFonts w:hint="eastAsia" w:ascii="宋体" w:hAnsi="宋体" w:eastAsia="宋体" w:cs="宋体"/>
                <w:sz w:val="21"/>
                <w:szCs w:val="21"/>
                <w:u w:val="non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rPr>
                <w:rFonts w:hint="eastAsia" w:ascii="宋体" w:hAnsi="宋体"/>
                <w:b/>
                <w:sz w:val="21"/>
                <w:szCs w:val="21"/>
              </w:rPr>
            </w:pPr>
            <w:r>
              <w:rPr>
                <w:rFonts w:hint="eastAsia" w:ascii="宋体" w:hAnsi="宋体"/>
                <w:b/>
                <w:sz w:val="21"/>
                <w:szCs w:val="21"/>
              </w:rPr>
              <w:t>相关方需求和期望识别情况</w:t>
            </w:r>
          </w:p>
          <w:p>
            <w:pPr>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提供了相关方需求和期望一览表，调查分析基本齐全，确定了优先考虑的顺序。</w:t>
            </w:r>
          </w:p>
          <w:p>
            <w:pPr>
              <w:spacing w:line="360" w:lineRule="auto"/>
              <w:rPr>
                <w:rFonts w:ascii="宋体" w:hAnsi="宋体"/>
                <w:b/>
                <w:sz w:val="21"/>
                <w:szCs w:val="21"/>
              </w:rPr>
            </w:pPr>
            <w:r>
              <w:rPr>
                <w:rFonts w:hint="eastAsia" w:ascii="宋体" w:hAnsi="宋体" w:eastAsia="宋体" w:cs="宋体"/>
                <w:sz w:val="21"/>
                <w:szCs w:val="21"/>
                <w:u w:val="none"/>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360" w:lineRule="auto"/>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公司方针是：</w:t>
            </w:r>
          </w:p>
          <w:p>
            <w:pPr>
              <w:spacing w:line="360" w:lineRule="auto"/>
              <w:rPr>
                <w:rFonts w:hint="eastAsia" w:ascii="宋体" w:hAnsi="宋体"/>
                <w:b w:val="0"/>
                <w:bCs/>
                <w:sz w:val="21"/>
                <w:szCs w:val="21"/>
              </w:rPr>
            </w:pPr>
            <w:r>
              <w:rPr>
                <w:rFonts w:hint="eastAsia" w:ascii="宋体" w:hAnsi="宋体"/>
                <w:b w:val="0"/>
                <w:bCs/>
                <w:sz w:val="21"/>
                <w:szCs w:val="21"/>
              </w:rPr>
              <w:t>遵守法律、防治污染、降低能耗、持续</w:t>
            </w:r>
          </w:p>
          <w:p>
            <w:pPr>
              <w:spacing w:line="360" w:lineRule="auto"/>
              <w:rPr>
                <w:rFonts w:ascii="宋体" w:hAnsi="宋体"/>
                <w:b/>
                <w:sz w:val="21"/>
                <w:szCs w:val="21"/>
              </w:rPr>
            </w:pPr>
            <w:r>
              <w:rPr>
                <w:rFonts w:hint="eastAsia" w:ascii="宋体" w:hAnsi="宋体"/>
                <w:b w:val="0"/>
                <w:bCs/>
                <w:sz w:val="21"/>
                <w:szCs w:val="21"/>
              </w:rPr>
              <w:t>管理方针在内部适当的沟通，管理评审时进行了评审，方针适宜。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 w:val="left" w:pos="3543"/>
              </w:tabs>
              <w:spacing w:line="300" w:lineRule="exact"/>
              <w:ind w:left="211" w:hanging="211" w:hangingChars="100"/>
              <w:rPr>
                <w:rFonts w:ascii="宋体" w:hAnsi="宋体"/>
                <w:b/>
                <w:sz w:val="21"/>
                <w:szCs w:val="21"/>
              </w:rPr>
            </w:pP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        </w:t>
            </w:r>
            <w:r>
              <w:rPr>
                <w:rFonts w:hint="eastAsia" w:ascii="宋体" w:hAnsi="宋体"/>
                <w:b/>
                <w:sz w:val="21"/>
                <w:szCs w:val="21"/>
              </w:rPr>
              <w:t>删减理由：</w:t>
            </w:r>
            <w:r>
              <w:rPr>
                <w:rFonts w:hint="eastAsia" w:ascii="宋体" w:hAnsi="宋体"/>
                <w:b/>
                <w:sz w:val="21"/>
                <w:szCs w:val="21"/>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识别了办公、销售、质检、生产等过程的环境因素，动态更新，评价出的重要环境因素包括：固体废弃物排放、噪声排放、废气排放、废水排放、火灾事故的发生等。</w:t>
            </w:r>
          </w:p>
          <w:p>
            <w:pPr>
              <w:spacing w:line="360" w:lineRule="auto"/>
              <w:rPr>
                <w:rFonts w:hint="eastAsia" w:ascii="宋体" w:hAnsi="宋体"/>
                <w:b w:val="0"/>
                <w:bCs/>
                <w:sz w:val="21"/>
                <w:szCs w:val="21"/>
              </w:rPr>
            </w:pPr>
            <w:r>
              <w:rPr>
                <w:rFonts w:hint="eastAsia" w:ascii="宋体" w:hAnsi="宋体"/>
                <w:b w:val="0"/>
                <w:bCs/>
                <w:sz w:val="21"/>
                <w:szCs w:val="21"/>
              </w:rPr>
              <w:t>在采购、销售、质检、生产、仓储、运输、交付、日常办公等过程能使用生命周期观点和方法识别环境因素并加以管理。</w:t>
            </w:r>
          </w:p>
          <w:p>
            <w:pPr>
              <w:spacing w:line="360" w:lineRule="auto"/>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color w:val="000000"/>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color w:val="000000"/>
                <w:szCs w:val="21"/>
              </w:rPr>
              <w:t>■</w:t>
            </w:r>
            <w:r>
              <w:rPr>
                <w:rFonts w:hint="eastAsia" w:ascii="宋体" w:hAnsi="宋体"/>
                <w:b/>
                <w:color w:val="000000" w:themeColor="text1"/>
                <w:szCs w:val="21"/>
              </w:rPr>
              <w:t>产品/服务</w:t>
            </w:r>
            <w:r>
              <w:rPr>
                <w:rFonts w:hint="eastAsia" w:ascii="宋体" w:hAnsi="宋体"/>
                <w:color w:val="000000"/>
                <w:szCs w:val="21"/>
              </w:rPr>
              <w:t>■</w:t>
            </w:r>
            <w:r>
              <w:rPr>
                <w:rFonts w:hint="eastAsia" w:ascii="宋体" w:hAnsi="宋体"/>
                <w:b/>
                <w:color w:val="000000" w:themeColor="text1"/>
                <w:szCs w:val="21"/>
              </w:rPr>
              <w:t>环境因素□危险源，</w:t>
            </w:r>
            <w:r>
              <w:rPr>
                <w:rFonts w:hint="eastAsia" w:ascii="宋体" w:hAnsi="宋体"/>
                <w:color w:val="000000"/>
                <w:szCs w:val="21"/>
              </w:rPr>
              <w:t>■</w:t>
            </w:r>
            <w:r>
              <w:rPr>
                <w:rFonts w:hint="eastAsia" w:ascii="宋体" w:hAnsi="宋体"/>
                <w:b/>
                <w:color w:val="000000" w:themeColor="text1"/>
                <w:szCs w:val="21"/>
              </w:rPr>
              <w:t>确定 □未确定法律法规要求的具体条款，</w:t>
            </w:r>
          </w:p>
          <w:p>
            <w:pPr>
              <w:pStyle w:val="14"/>
              <w:numPr>
                <w:ilvl w:val="0"/>
                <w:numId w:val="3"/>
              </w:numPr>
              <w:tabs>
                <w:tab w:val="left" w:pos="540"/>
              </w:tabs>
              <w:spacing w:line="300" w:lineRule="exact"/>
              <w:ind w:firstLineChars="0"/>
              <w:rPr>
                <w:rFonts w:ascii="宋体" w:hAnsi="宋体"/>
                <w:szCs w:val="21"/>
                <w:u w:val="single"/>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w:t>
            </w:r>
            <w:r>
              <w:rPr>
                <w:rFonts w:hint="eastAsia" w:ascii="宋体" w:hAnsi="宋体"/>
                <w:szCs w:val="21"/>
                <w:u w:val="single"/>
              </w:rPr>
              <w:t>为最新版本，每年更新一次。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rPr>
                <w:rFonts w:hint="eastAsia" w:ascii="宋体" w:hAnsi="宋体"/>
                <w:b w:val="0"/>
                <w:bCs/>
                <w:sz w:val="21"/>
                <w:szCs w:val="21"/>
              </w:rPr>
            </w:pPr>
            <w:r>
              <w:rPr>
                <w:rFonts w:hint="eastAsia" w:ascii="宋体" w:hAnsi="宋体"/>
                <w:b w:val="0"/>
                <w:bCs/>
                <w:sz w:val="21"/>
                <w:szCs w:val="21"/>
              </w:rPr>
              <w:t>公司环境目标：</w:t>
            </w:r>
          </w:p>
          <w:p>
            <w:pPr>
              <w:spacing w:line="360" w:lineRule="auto"/>
              <w:rPr>
                <w:rFonts w:hint="eastAsia" w:ascii="宋体" w:hAnsi="宋体"/>
                <w:b w:val="0"/>
                <w:bCs/>
                <w:sz w:val="21"/>
                <w:szCs w:val="21"/>
              </w:rPr>
            </w:pPr>
            <w:r>
              <w:rPr>
                <w:rFonts w:hint="eastAsia" w:ascii="宋体" w:hAnsi="宋体"/>
                <w:b w:val="0"/>
                <w:bCs/>
                <w:sz w:val="21"/>
                <w:szCs w:val="21"/>
              </w:rPr>
              <w:t>a)重大环境污染事故为零；</w:t>
            </w:r>
          </w:p>
          <w:p>
            <w:pPr>
              <w:spacing w:line="360" w:lineRule="auto"/>
              <w:rPr>
                <w:rFonts w:hint="eastAsia" w:ascii="宋体" w:hAnsi="宋体"/>
                <w:b w:val="0"/>
                <w:bCs/>
                <w:sz w:val="21"/>
                <w:szCs w:val="21"/>
              </w:rPr>
            </w:pPr>
            <w:r>
              <w:rPr>
                <w:rFonts w:hint="eastAsia" w:ascii="宋体" w:hAnsi="宋体"/>
                <w:b w:val="0"/>
                <w:bCs/>
                <w:sz w:val="21"/>
                <w:szCs w:val="21"/>
              </w:rPr>
              <w:t>b)工作场所产生的废水、废气和厂界噪声达到国家排放标准要求；</w:t>
            </w:r>
          </w:p>
          <w:p>
            <w:pPr>
              <w:spacing w:line="360" w:lineRule="auto"/>
              <w:rPr>
                <w:rFonts w:ascii="宋体" w:hAnsi="宋体"/>
                <w:b/>
                <w:sz w:val="21"/>
                <w:szCs w:val="21"/>
              </w:rPr>
            </w:pPr>
            <w:r>
              <w:rPr>
                <w:rFonts w:hint="eastAsia" w:ascii="宋体" w:hAnsi="宋体"/>
                <w:b w:val="0"/>
                <w:bCs/>
                <w:sz w:val="21"/>
                <w:szCs w:val="21"/>
              </w:rPr>
              <w:t>c)工作场所的废弃物处置符合国家及地方环保规定要求；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ascii="宋体" w:hAnsi="宋体"/>
                <w:b/>
                <w:sz w:val="21"/>
                <w:szCs w:val="21"/>
              </w:rPr>
            </w:pPr>
            <w:r>
              <w:rPr>
                <w:rFonts w:hint="eastAsia" w:ascii="宋体" w:hAnsi="宋体"/>
                <w:b w:val="0"/>
                <w:bCs/>
                <w:sz w:val="21"/>
                <w:szCs w:val="21"/>
              </w:rPr>
              <w:t>体系文件符合公司要求，文件和记录管理控制符合标准要求</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eastAsia="宋体" w:cs="Times New Roman"/>
                <w:b w:val="0"/>
                <w:bCs/>
                <w:sz w:val="21"/>
                <w:szCs w:val="21"/>
              </w:rPr>
              <w:t>编制了人力资源管理程序，制定培训计划，</w:t>
            </w:r>
            <w:r>
              <w:rPr>
                <w:rFonts w:hint="eastAsia" w:ascii="宋体" w:hAnsi="宋体" w:eastAsia="宋体" w:cs="Times New Roman"/>
                <w:b w:val="0"/>
                <w:bCs/>
                <w:sz w:val="21"/>
                <w:szCs w:val="21"/>
                <w:lang w:val="en-US" w:eastAsia="zh-CN"/>
              </w:rPr>
              <w:t>按计划完成了相关培训，并有有效评价。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hAnsi="宋体"/>
                <w:b w:val="0"/>
                <w:bCs/>
                <w:sz w:val="21"/>
                <w:szCs w:val="21"/>
              </w:rPr>
              <w:t>主要设备有：加工中心、滚丝机、磨床、数控机床、铣床、钻床、压力机、清洗机、电脑、打印机、网络、电话等设施设备，有生产和办公场所能满足要求；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sz w:val="21"/>
                <w:szCs w:val="21"/>
              </w:rPr>
            </w:pPr>
            <w:r>
              <w:rPr>
                <w:rFonts w:hint="eastAsia" w:ascii="宋体" w:hAnsi="宋体"/>
                <w:b w:val="0"/>
                <w:bCs/>
                <w:sz w:val="21"/>
                <w:szCs w:val="21"/>
              </w:rPr>
              <w:t>产品生产产品对环境没有特殊要求，生产车间和办公环境整洁布局合理满足要求。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 w:val="0"/>
                <w:bCs/>
                <w:sz w:val="21"/>
                <w:szCs w:val="21"/>
              </w:rPr>
              <w:t>无需环保和职业健康安全监视和测量资源。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ascii="宋体" w:hAnsi="宋体"/>
                <w:b/>
                <w:sz w:val="21"/>
                <w:szCs w:val="21"/>
              </w:rPr>
            </w:pPr>
            <w:r>
              <w:rPr>
                <w:rFonts w:hint="eastAsia" w:ascii="宋体" w:hAnsi="宋体"/>
                <w:b w:val="0"/>
                <w:bCs/>
                <w:sz w:val="21"/>
                <w:szCs w:val="21"/>
              </w:rPr>
              <w:t>企业运行过程所需的知识从内部来源获取的有：公司生产和管理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rPr>
                <w:rFonts w:ascii="宋体" w:hAnsi="宋体"/>
                <w:b/>
                <w:sz w:val="21"/>
                <w:szCs w:val="21"/>
              </w:rPr>
            </w:pPr>
            <w:r>
              <w:rPr>
                <w:rFonts w:hint="eastAsia" w:ascii="宋体" w:hAnsi="宋体" w:eastAsia="宋体" w:cs="宋体"/>
                <w:b w:val="0"/>
                <w:bCs/>
                <w:sz w:val="21"/>
                <w:szCs w:val="21"/>
                <w:u w:val="none"/>
              </w:rPr>
              <w:t>光氧催化废气处理设备</w:t>
            </w:r>
            <w:r>
              <w:rPr>
                <w:rFonts w:hint="eastAsia" w:ascii="宋体" w:hAnsi="宋体" w:eastAsia="宋体" w:cs="宋体"/>
                <w:b w:val="0"/>
                <w:bCs/>
                <w:sz w:val="21"/>
                <w:szCs w:val="21"/>
                <w:u w:val="none"/>
                <w:lang w:eastAsia="zh-CN"/>
              </w:rPr>
              <w:t>、</w:t>
            </w:r>
            <w:r>
              <w:rPr>
                <w:rFonts w:hint="eastAsia" w:ascii="宋体" w:hAnsi="宋体" w:eastAsia="宋体" w:cs="宋体"/>
                <w:sz w:val="21"/>
                <w:szCs w:val="21"/>
                <w:u w:val="none"/>
              </w:rPr>
              <w:t>分类垃圾桶、排气扇。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b w:val="0"/>
                <w:bCs/>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hint="eastAsia" w:ascii="宋体" w:hAnsi="宋体"/>
                <w:b w:val="0"/>
                <w:bCs/>
                <w:sz w:val="21"/>
                <w:szCs w:val="21"/>
                <w:u w:val="single"/>
              </w:rPr>
            </w:pPr>
            <w:r>
              <w:rPr>
                <w:rFonts w:hint="eastAsia" w:ascii="宋体" w:hAnsi="宋体"/>
                <w:b/>
                <w:sz w:val="21"/>
                <w:szCs w:val="21"/>
              </w:rPr>
              <w:t>内部沟通的情况：内部沟通方式：</w:t>
            </w:r>
            <w:r>
              <w:rPr>
                <w:rFonts w:hint="eastAsia" w:ascii="宋体" w:hAnsi="宋体"/>
                <w:b w:val="0"/>
                <w:bCs/>
                <w:sz w:val="21"/>
                <w:szCs w:val="21"/>
                <w:u w:val="single"/>
              </w:rPr>
              <w:t>培训、会议、宣传栏；</w:t>
            </w:r>
          </w:p>
          <w:p>
            <w:pPr>
              <w:spacing w:line="360" w:lineRule="auto"/>
              <w:rPr>
                <w:rFonts w:hint="eastAsia" w:ascii="宋体" w:hAnsi="宋体"/>
                <w:b/>
                <w:sz w:val="21"/>
                <w:szCs w:val="21"/>
              </w:rPr>
            </w:pPr>
            <w:r>
              <w:rPr>
                <w:rFonts w:hint="eastAsia" w:ascii="宋体" w:hAnsi="宋体"/>
                <w:b/>
                <w:sz w:val="21"/>
                <w:szCs w:val="21"/>
              </w:rPr>
              <w:t xml:space="preserve">                内部沟通的效果：</w:t>
            </w:r>
            <w:r>
              <w:rPr>
                <w:rFonts w:hint="eastAsia" w:ascii="宋体" w:hAnsi="宋体"/>
                <w:b w:val="0"/>
                <w:bCs/>
                <w:sz w:val="21"/>
                <w:szCs w:val="21"/>
                <w:u w:val="single"/>
              </w:rPr>
              <w:t>沟通畅通；</w:t>
            </w:r>
          </w:p>
          <w:p>
            <w:pPr>
              <w:spacing w:line="360" w:lineRule="auto"/>
              <w:rPr>
                <w:rFonts w:hint="eastAsia" w:ascii="宋体" w:hAnsi="宋体"/>
                <w:b/>
                <w:sz w:val="21"/>
                <w:szCs w:val="21"/>
              </w:rPr>
            </w:pPr>
            <w:r>
              <w:rPr>
                <w:rFonts w:hint="eastAsia" w:ascii="宋体" w:hAnsi="宋体"/>
                <w:b/>
                <w:sz w:val="21"/>
                <w:szCs w:val="21"/>
              </w:rPr>
              <w:t>组织对外联络，关注顾客的感受情况（QMS）： 。</w:t>
            </w:r>
          </w:p>
          <w:p>
            <w:pPr>
              <w:spacing w:line="360" w:lineRule="auto"/>
              <w:rPr>
                <w:rFonts w:hint="eastAsia" w:ascii="宋体" w:hAnsi="宋体"/>
                <w:b/>
                <w:sz w:val="21"/>
                <w:szCs w:val="21"/>
              </w:rPr>
            </w:pPr>
            <w:r>
              <w:rPr>
                <w:rFonts w:hint="eastAsia" w:ascii="宋体" w:hAnsi="宋体"/>
                <w:b/>
                <w:sz w:val="21"/>
                <w:szCs w:val="21"/>
              </w:rPr>
              <w:t>外部信息的接收、成文并答复的情况（E、S填写）：</w:t>
            </w:r>
            <w:r>
              <w:rPr>
                <w:rFonts w:hint="eastAsia" w:ascii="宋体" w:hAnsi="宋体"/>
                <w:b w:val="0"/>
                <w:bCs/>
                <w:sz w:val="21"/>
                <w:szCs w:val="21"/>
                <w:u w:val="single"/>
              </w:rPr>
              <w:t>参加相关部门组织的会议，接收相关部门下达的通知并在公司内部沟通传达。</w:t>
            </w:r>
          </w:p>
          <w:p>
            <w:pPr>
              <w:spacing w:line="360" w:lineRule="auto"/>
              <w:rPr>
                <w:rFonts w:ascii="宋体" w:hAnsi="宋体"/>
                <w:b/>
                <w:sz w:val="21"/>
                <w:szCs w:val="21"/>
              </w:rPr>
            </w:pPr>
            <w:r>
              <w:rPr>
                <w:rFonts w:hint="eastAsia" w:ascii="宋体" w:hAnsi="宋体"/>
                <w:b/>
                <w:sz w:val="21"/>
                <w:szCs w:val="21"/>
              </w:rPr>
              <w:t>重要环境因素信息对外交流情况（EMS填写）：</w:t>
            </w:r>
            <w:r>
              <w:rPr>
                <w:rFonts w:hint="eastAsia" w:ascii="宋体" w:hAnsi="宋体"/>
                <w:b w:val="0"/>
                <w:bCs/>
                <w:sz w:val="21"/>
                <w:szCs w:val="21"/>
                <w:u w:val="single"/>
              </w:rPr>
              <w:t>对相关方进行环保告知</w:t>
            </w:r>
            <w:r>
              <w:rPr>
                <w:rFonts w:hint="eastAsia" w:ascii="宋体" w:hAnsi="宋体"/>
                <w:b/>
                <w:sz w:val="21"/>
                <w:szCs w:val="21"/>
              </w:rPr>
              <w:t>。</w:t>
            </w:r>
          </w:p>
          <w:p>
            <w:pPr>
              <w:spacing w:line="360" w:lineRule="auto"/>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360" w:lineRule="auto"/>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rPr>
                <w:rFonts w:hint="eastAsia" w:ascii="宋体" w:hAnsi="宋体"/>
                <w:b w:val="0"/>
                <w:bCs/>
                <w:sz w:val="21"/>
                <w:szCs w:val="21"/>
              </w:rPr>
            </w:pPr>
            <w:r>
              <w:rPr>
                <w:rFonts w:hint="eastAsia" w:ascii="宋体" w:hAnsi="宋体"/>
                <w:b w:val="0"/>
                <w:bCs/>
                <w:sz w:val="21"/>
                <w:szCs w:val="21"/>
              </w:rPr>
              <w:t>1、废水管控：</w:t>
            </w:r>
          </w:p>
          <w:p>
            <w:pPr>
              <w:spacing w:line="360" w:lineRule="auto"/>
              <w:rPr>
                <w:rFonts w:hint="eastAsia" w:ascii="宋体" w:hAnsi="宋体"/>
                <w:b w:val="0"/>
                <w:bCs/>
                <w:sz w:val="21"/>
                <w:szCs w:val="21"/>
              </w:rPr>
            </w:pPr>
            <w:r>
              <w:rPr>
                <w:rFonts w:hint="eastAsia" w:ascii="宋体" w:hAnsi="宋体"/>
                <w:b w:val="0"/>
                <w:bCs/>
                <w:sz w:val="21"/>
                <w:szCs w:val="21"/>
              </w:rPr>
              <w:t>生产过程</w:t>
            </w:r>
            <w:r>
              <w:rPr>
                <w:rFonts w:hint="eastAsia" w:ascii="宋体" w:hAnsi="宋体"/>
                <w:b w:val="0"/>
                <w:bCs/>
                <w:sz w:val="21"/>
                <w:szCs w:val="21"/>
                <w:lang w:val="en-US" w:eastAsia="zh-CN"/>
              </w:rPr>
              <w:t>零件淬火时降温的水循环使用</w:t>
            </w:r>
            <w:r>
              <w:rPr>
                <w:rFonts w:hint="eastAsia" w:ascii="宋体" w:hAnsi="宋体"/>
                <w:b w:val="0"/>
                <w:bCs/>
                <w:sz w:val="21"/>
                <w:szCs w:val="21"/>
              </w:rPr>
              <w:t>，生活废水经化粪池简单处理后排入政府管网集中处理。</w:t>
            </w:r>
          </w:p>
          <w:p>
            <w:pPr>
              <w:spacing w:line="360" w:lineRule="auto"/>
              <w:rPr>
                <w:rFonts w:hint="eastAsia" w:ascii="宋体" w:hAnsi="宋体"/>
                <w:b w:val="0"/>
                <w:bCs/>
                <w:sz w:val="21"/>
                <w:szCs w:val="21"/>
              </w:rPr>
            </w:pPr>
            <w:r>
              <w:rPr>
                <w:rFonts w:hint="eastAsia" w:ascii="宋体" w:hAnsi="宋体"/>
                <w:b w:val="0"/>
                <w:bCs/>
                <w:sz w:val="21"/>
                <w:szCs w:val="21"/>
              </w:rPr>
              <w:t>2、废气管控：</w:t>
            </w:r>
          </w:p>
          <w:p>
            <w:pPr>
              <w:spacing w:line="360" w:lineRule="auto"/>
              <w:rPr>
                <w:rFonts w:hint="eastAsia" w:ascii="宋体" w:hAnsi="宋体"/>
                <w:b w:val="0"/>
                <w:bCs/>
                <w:sz w:val="21"/>
                <w:szCs w:val="21"/>
              </w:rPr>
            </w:pPr>
            <w:r>
              <w:rPr>
                <w:rFonts w:hint="eastAsia" w:ascii="宋体" w:hAnsi="宋体"/>
                <w:b w:val="0"/>
                <w:bCs/>
                <w:sz w:val="21"/>
                <w:szCs w:val="21"/>
              </w:rPr>
              <w:t>主要是</w:t>
            </w:r>
            <w:r>
              <w:rPr>
                <w:rFonts w:hint="eastAsia" w:ascii="宋体" w:hAnsi="宋体"/>
                <w:b w:val="0"/>
                <w:bCs/>
                <w:sz w:val="21"/>
                <w:szCs w:val="21"/>
                <w:lang w:val="en-US" w:eastAsia="zh-CN"/>
              </w:rPr>
              <w:t>零件淬火时水冷却产生的雾气由</w:t>
            </w:r>
            <w:r>
              <w:rPr>
                <w:rFonts w:hint="eastAsia" w:ascii="宋体" w:hAnsi="宋体" w:eastAsia="宋体" w:cs="宋体"/>
                <w:b w:val="0"/>
                <w:bCs/>
                <w:sz w:val="21"/>
                <w:szCs w:val="21"/>
                <w:u w:val="none"/>
              </w:rPr>
              <w:t>光氧催化废气处理设备</w:t>
            </w:r>
            <w:r>
              <w:rPr>
                <w:rFonts w:hint="eastAsia" w:ascii="宋体" w:hAnsi="宋体" w:eastAsia="宋体" w:cs="宋体"/>
                <w:b w:val="0"/>
                <w:bCs/>
                <w:sz w:val="21"/>
                <w:szCs w:val="21"/>
                <w:u w:val="none"/>
                <w:lang w:val="en-US" w:eastAsia="zh-CN"/>
              </w:rPr>
              <w:t>处理15米烟筒排放，</w:t>
            </w:r>
            <w:r>
              <w:rPr>
                <w:rFonts w:hint="eastAsia" w:ascii="宋体" w:hAnsi="宋体"/>
                <w:b w:val="0"/>
                <w:bCs/>
                <w:sz w:val="21"/>
                <w:szCs w:val="21"/>
              </w:rPr>
              <w:t>钢材在机加工过程产生少量粉尘，安装了若干换气扇对车间进行通风换气，对车间及周围环境影响较小，经无组织废气监测符合排放标准要求。</w:t>
            </w:r>
          </w:p>
          <w:p>
            <w:pPr>
              <w:spacing w:line="360" w:lineRule="auto"/>
              <w:rPr>
                <w:rFonts w:hint="eastAsia" w:ascii="宋体" w:hAnsi="宋体"/>
                <w:b w:val="0"/>
                <w:bCs/>
                <w:sz w:val="21"/>
                <w:szCs w:val="21"/>
              </w:rPr>
            </w:pPr>
            <w:r>
              <w:rPr>
                <w:rFonts w:hint="eastAsia" w:ascii="宋体" w:hAnsi="宋体"/>
                <w:b w:val="0"/>
                <w:bCs/>
                <w:sz w:val="21"/>
                <w:szCs w:val="21"/>
              </w:rPr>
              <w:t>3、噪声管控：</w:t>
            </w:r>
          </w:p>
          <w:p>
            <w:pPr>
              <w:spacing w:line="360" w:lineRule="auto"/>
              <w:rPr>
                <w:rFonts w:hint="eastAsia" w:ascii="宋体" w:hAnsi="宋体"/>
                <w:b w:val="0"/>
                <w:bCs/>
                <w:sz w:val="21"/>
                <w:szCs w:val="21"/>
              </w:rPr>
            </w:pPr>
            <w:r>
              <w:rPr>
                <w:rFonts w:hint="eastAsia" w:ascii="宋体" w:hAnsi="宋体"/>
                <w:b w:val="0"/>
                <w:bCs/>
                <w:sz w:val="21"/>
                <w:szCs w:val="21"/>
              </w:rPr>
              <w:t>生产过程在下料、机加工过程产生设备噪声，采取厂房内操作和选用低噪声的设备和工具并做消声和减振处理，同时加强设备的检查和维保，确保机械设备在正常工况下运行，其他工序基本无噪声。</w:t>
            </w:r>
          </w:p>
          <w:p>
            <w:pPr>
              <w:spacing w:line="360" w:lineRule="auto"/>
              <w:rPr>
                <w:rFonts w:hint="eastAsia" w:ascii="宋体" w:hAnsi="宋体"/>
                <w:b w:val="0"/>
                <w:bCs/>
                <w:sz w:val="21"/>
                <w:szCs w:val="21"/>
              </w:rPr>
            </w:pPr>
            <w:r>
              <w:rPr>
                <w:rFonts w:hint="eastAsia" w:ascii="宋体" w:hAnsi="宋体"/>
                <w:b w:val="0"/>
                <w:bCs/>
                <w:sz w:val="21"/>
                <w:szCs w:val="21"/>
              </w:rPr>
              <w:t>4、固废管控：</w:t>
            </w:r>
          </w:p>
          <w:p>
            <w:pPr>
              <w:spacing w:line="360" w:lineRule="auto"/>
              <w:rPr>
                <w:rFonts w:hint="eastAsia" w:ascii="宋体" w:hAnsi="宋体"/>
                <w:b w:val="0"/>
                <w:bCs/>
                <w:sz w:val="21"/>
                <w:szCs w:val="21"/>
              </w:rPr>
            </w:pPr>
            <w:r>
              <w:rPr>
                <w:rFonts w:hint="eastAsia" w:ascii="宋体" w:hAnsi="宋体"/>
                <w:b w:val="0"/>
                <w:bCs/>
                <w:sz w:val="21"/>
                <w:szCs w:val="21"/>
              </w:rPr>
              <w:t>生产过程中主要为下料和及机加工过程产生废边角余料、和废品。生产部将以上废弃物放置固定位置，积攒一定量后出售有处理能力的单位回收再利用。</w:t>
            </w:r>
          </w:p>
          <w:p>
            <w:pPr>
              <w:spacing w:line="360" w:lineRule="auto"/>
              <w:rPr>
                <w:rFonts w:hint="eastAsia" w:ascii="宋体" w:hAnsi="宋体"/>
                <w:b w:val="0"/>
                <w:bCs/>
                <w:sz w:val="21"/>
                <w:szCs w:val="21"/>
              </w:rPr>
            </w:pPr>
            <w:r>
              <w:rPr>
                <w:rFonts w:hint="eastAsia" w:ascii="宋体" w:hAnsi="宋体"/>
                <w:b w:val="0"/>
                <w:bCs/>
                <w:sz w:val="21"/>
                <w:szCs w:val="21"/>
              </w:rPr>
              <w:t>危险废物为车间含油抹布、废油桶、废切削液桶，采取集中收集定期回收的方式处理。</w:t>
            </w:r>
          </w:p>
          <w:p>
            <w:pPr>
              <w:spacing w:line="360" w:lineRule="auto"/>
              <w:rPr>
                <w:rFonts w:hint="eastAsia" w:ascii="宋体" w:hAnsi="宋体"/>
                <w:b w:val="0"/>
                <w:bCs/>
                <w:sz w:val="21"/>
                <w:szCs w:val="21"/>
              </w:rPr>
            </w:pPr>
            <w:r>
              <w:rPr>
                <w:rFonts w:hint="eastAsia" w:ascii="宋体" w:hAnsi="宋体"/>
                <w:b w:val="0"/>
                <w:bCs/>
                <w:sz w:val="21"/>
                <w:szCs w:val="21"/>
              </w:rPr>
              <w:t>5、能源资源管控：</w:t>
            </w:r>
          </w:p>
          <w:p>
            <w:pPr>
              <w:spacing w:line="360" w:lineRule="auto"/>
              <w:rPr>
                <w:rFonts w:hint="eastAsia" w:ascii="宋体" w:hAnsi="宋体"/>
                <w:b w:val="0"/>
                <w:bCs/>
                <w:sz w:val="21"/>
                <w:szCs w:val="21"/>
              </w:rPr>
            </w:pPr>
            <w:r>
              <w:rPr>
                <w:rFonts w:hint="eastAsia" w:ascii="宋体" w:hAnsi="宋体"/>
                <w:b w:val="0"/>
                <w:bCs/>
                <w:sz w:val="21"/>
                <w:szCs w:val="21"/>
              </w:rPr>
              <w:t>生产过程注意节水、节电、节钢材，人走关闭设备和照明开关，现场未发现有漏水和浪费电能的现象。</w:t>
            </w:r>
          </w:p>
          <w:p>
            <w:pPr>
              <w:spacing w:line="360" w:lineRule="auto"/>
              <w:rPr>
                <w:rFonts w:hint="eastAsia" w:ascii="宋体" w:hAnsi="宋体"/>
                <w:b w:val="0"/>
                <w:bCs/>
                <w:sz w:val="21"/>
                <w:szCs w:val="21"/>
              </w:rPr>
            </w:pPr>
            <w:r>
              <w:rPr>
                <w:rFonts w:hint="eastAsia" w:ascii="宋体" w:hAnsi="宋体"/>
                <w:b w:val="0"/>
                <w:bCs/>
                <w:sz w:val="21"/>
                <w:szCs w:val="21"/>
              </w:rPr>
              <w:t>6、产品生命周期的环境管控：</w:t>
            </w:r>
          </w:p>
          <w:p>
            <w:pPr>
              <w:spacing w:line="360" w:lineRule="auto"/>
              <w:rPr>
                <w:rFonts w:hint="eastAsia" w:ascii="宋体" w:hAnsi="宋体"/>
                <w:b w:val="0"/>
                <w:bCs/>
                <w:sz w:val="21"/>
                <w:szCs w:val="21"/>
              </w:rPr>
            </w:pPr>
            <w:r>
              <w:rPr>
                <w:rFonts w:hint="eastAsia" w:ascii="宋体" w:hAnsi="宋体"/>
                <w:b w:val="0"/>
                <w:bCs/>
                <w:sz w:val="21"/>
                <w:szCs w:val="21"/>
              </w:rPr>
              <w:t>公司从工艺设计和采购产品时已考虑了产品的环保性（包括原材料），生产过程中，严格按照环保等管理制度实施，控制好辅助材料的用量，避免浪费，生命周期终了时钢材还可以回收再利用。</w:t>
            </w:r>
          </w:p>
          <w:p>
            <w:pPr>
              <w:spacing w:line="360" w:lineRule="auto"/>
              <w:rPr>
                <w:rFonts w:hint="eastAsia" w:ascii="宋体" w:hAnsi="宋体"/>
                <w:b w:val="0"/>
                <w:bCs/>
                <w:sz w:val="21"/>
                <w:szCs w:val="21"/>
              </w:rPr>
            </w:pPr>
            <w:r>
              <w:rPr>
                <w:rFonts w:hint="eastAsia" w:ascii="宋体" w:hAnsi="宋体"/>
                <w:b w:val="0"/>
                <w:bCs/>
                <w:sz w:val="21"/>
                <w:szCs w:val="21"/>
              </w:rPr>
              <w:t>7、潜在火灾管控：</w:t>
            </w:r>
          </w:p>
          <w:p>
            <w:pPr>
              <w:spacing w:line="360" w:lineRule="auto"/>
              <w:rPr>
                <w:rFonts w:hint="eastAsia" w:ascii="宋体" w:hAnsi="宋体"/>
                <w:b w:val="0"/>
                <w:bCs/>
                <w:sz w:val="21"/>
                <w:szCs w:val="21"/>
              </w:rPr>
            </w:pPr>
            <w:r>
              <w:rPr>
                <w:rFonts w:hint="eastAsia" w:ascii="宋体" w:hAnsi="宋体"/>
                <w:b w:val="0"/>
                <w:bCs/>
                <w:sz w:val="21"/>
                <w:szCs w:val="21"/>
              </w:rPr>
              <w:t>公司生产车间和办公区域配备了消防栓、灭火器，均符合要求。</w:t>
            </w:r>
          </w:p>
          <w:p>
            <w:pPr>
              <w:spacing w:line="360" w:lineRule="auto"/>
              <w:rPr>
                <w:rFonts w:ascii="宋体" w:hAnsi="宋体"/>
                <w:b/>
                <w:sz w:val="21"/>
                <w:szCs w:val="21"/>
              </w:rPr>
            </w:pPr>
            <w:r>
              <w:rPr>
                <w:rFonts w:hint="eastAsia" w:ascii="宋体" w:hAnsi="宋体"/>
                <w:b w:val="0"/>
                <w:bCs/>
                <w:sz w:val="21"/>
                <w:szCs w:val="21"/>
              </w:rPr>
              <w:t>8、按有关程序和要求通报供方和顾客，采用〈告知函〉方式通报。查到相关方告知书。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rPr>
              <w:t>公司确定的紧急情况有：火灾、人身伤害等。提供了应急预案，其中包括目的、适用范围、职责、应急处理细则、演习、必备资料等，相关内容基本充分。</w:t>
            </w:r>
          </w:p>
          <w:p>
            <w:pPr>
              <w:spacing w:line="360" w:lineRule="auto"/>
              <w:rPr>
                <w:rFonts w:hint="eastAsia" w:ascii="宋体" w:hAnsi="宋体"/>
                <w:b w:val="0"/>
                <w:bCs/>
                <w:sz w:val="21"/>
                <w:szCs w:val="21"/>
              </w:rPr>
            </w:pPr>
            <w:r>
              <w:rPr>
                <w:rFonts w:hint="eastAsia" w:ascii="宋体" w:hAnsi="宋体"/>
                <w:b w:val="0"/>
                <w:bCs/>
                <w:sz w:val="21"/>
                <w:szCs w:val="21"/>
              </w:rPr>
              <w:t>应急设施配置：在车间、仓库、办公场所内均配备了灭火器等消防设施，状态良好。</w:t>
            </w:r>
          </w:p>
          <w:p>
            <w:pPr>
              <w:spacing w:line="360" w:lineRule="auto"/>
              <w:rPr>
                <w:rFonts w:ascii="宋体" w:hAnsi="宋体"/>
                <w:b/>
                <w:sz w:val="21"/>
                <w:szCs w:val="21"/>
              </w:rPr>
            </w:pPr>
            <w:r>
              <w:rPr>
                <w:rFonts w:hint="eastAsia" w:ascii="宋体" w:hAnsi="宋体"/>
                <w:b w:val="0"/>
                <w:bCs/>
                <w:sz w:val="21"/>
                <w:szCs w:val="21"/>
              </w:rPr>
              <w:t>2</w:t>
            </w:r>
            <w:r>
              <w:rPr>
                <w:rFonts w:hint="eastAsia" w:ascii="宋体" w:hAnsi="宋体"/>
                <w:b w:val="0"/>
                <w:bCs/>
                <w:sz w:val="21"/>
                <w:szCs w:val="21"/>
                <w:lang w:val="en-US" w:eastAsia="zh-CN"/>
              </w:rPr>
              <w:t>020</w:t>
            </w:r>
            <w:r>
              <w:rPr>
                <w:rFonts w:hint="eastAsia" w:ascii="宋体" w:hAnsi="宋体"/>
                <w:b w:val="0"/>
                <w:bCs/>
                <w:sz w:val="21"/>
                <w:szCs w:val="21"/>
              </w:rPr>
              <w:t>.</w:t>
            </w:r>
            <w:r>
              <w:rPr>
                <w:rFonts w:hint="eastAsia" w:ascii="宋体" w:hAnsi="宋体"/>
                <w:b w:val="0"/>
                <w:bCs/>
                <w:sz w:val="21"/>
                <w:szCs w:val="21"/>
                <w:lang w:val="en-US" w:eastAsia="zh-CN"/>
              </w:rPr>
              <w:t>3</w:t>
            </w:r>
            <w:r>
              <w:rPr>
                <w:rFonts w:hint="eastAsia" w:ascii="宋体" w:hAnsi="宋体"/>
                <w:b w:val="0"/>
                <w:bCs/>
                <w:sz w:val="21"/>
                <w:szCs w:val="21"/>
              </w:rPr>
              <w:t>.20日进行了消防应急预案演练，演练后对应急预案的可操作性和充分性进行了评价。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ascii="宋体" w:hAnsi="宋体"/>
                <w:b/>
                <w:sz w:val="21"/>
                <w:szCs w:val="21"/>
              </w:rPr>
            </w:pPr>
            <w:r>
              <w:rPr>
                <w:rFonts w:hint="eastAsia" w:asciiTheme="minorEastAsia" w:hAnsiTheme="minorEastAsia" w:eastAsiaTheme="minorEastAsia"/>
                <w:sz w:val="21"/>
                <w:szCs w:val="21"/>
                <w:u w:val="none"/>
              </w:rPr>
              <w:t>起重机和</w:t>
            </w:r>
            <w:r>
              <w:rPr>
                <w:rFonts w:hint="eastAsia" w:asciiTheme="minorEastAsia" w:hAnsiTheme="minorEastAsia" w:eastAsiaTheme="minorEastAsia"/>
                <w:sz w:val="21"/>
                <w:szCs w:val="21"/>
                <w:u w:val="none"/>
                <w:lang w:val="en-US" w:eastAsia="zh-CN"/>
              </w:rPr>
              <w:t>叉车</w:t>
            </w:r>
            <w:r>
              <w:rPr>
                <w:rFonts w:hint="eastAsia" w:asciiTheme="minorEastAsia" w:hAnsiTheme="minorEastAsia" w:eastAsiaTheme="minorEastAsia"/>
                <w:sz w:val="21"/>
                <w:szCs w:val="21"/>
                <w:u w:val="none"/>
              </w:rPr>
              <w:t>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rPr>
                <w:rFonts w:hint="default" w:ascii="宋体" w:hAnsi="宋体" w:eastAsia="宋体"/>
                <w:b/>
                <w:sz w:val="21"/>
                <w:szCs w:val="21"/>
                <w:lang w:val="en-US" w:eastAsia="zh-CN"/>
              </w:rPr>
            </w:pPr>
            <w:r>
              <w:rPr>
                <w:rFonts w:hint="eastAsia" w:ascii="宋体" w:hAnsi="宋体"/>
                <w:b w:val="0"/>
                <w:bCs/>
                <w:sz w:val="21"/>
                <w:szCs w:val="21"/>
                <w:lang w:val="en-US" w:eastAsia="zh-CN"/>
              </w:rPr>
              <w:t>设置危废品仓库，对废机油、废冷却液进行收集，专人保管，定期由有资质的企业进行处理。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宋体" w:hAnsi="宋体"/>
                <w:b w:val="0"/>
                <w:bCs/>
                <w:sz w:val="21"/>
                <w:szCs w:val="21"/>
              </w:rPr>
              <w:t>定期进行环境目标完成情况的检查。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cs="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了解内审的策划;</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sz w:val="21"/>
                <w:szCs w:val="21"/>
                <w:u w:val="single"/>
              </w:rPr>
              <w:t>每年一次，本次20</w:t>
            </w:r>
            <w:r>
              <w:rPr>
                <w:rFonts w:hint="eastAsia" w:ascii="宋体" w:hAnsi="宋体" w:cs="宋体"/>
                <w:sz w:val="21"/>
                <w:szCs w:val="21"/>
                <w:u w:val="single"/>
                <w:lang w:val="en-US" w:eastAsia="zh-CN"/>
              </w:rPr>
              <w:t>20</w:t>
            </w:r>
            <w:r>
              <w:rPr>
                <w:rFonts w:hint="eastAsia" w:ascii="宋体" w:hAnsi="宋体" w:eastAsia="宋体" w:cs="宋体"/>
                <w:sz w:val="21"/>
                <w:szCs w:val="21"/>
                <w:u w:val="single"/>
              </w:rPr>
              <w:t>.</w:t>
            </w:r>
            <w:r>
              <w:rPr>
                <w:rFonts w:hint="eastAsia" w:ascii="宋体" w:hAnsi="宋体" w:cs="宋体"/>
                <w:sz w:val="21"/>
                <w:szCs w:val="21"/>
                <w:u w:val="single"/>
                <w:lang w:val="en-US" w:eastAsia="zh-CN"/>
              </w:rPr>
              <w:t>7</w:t>
            </w:r>
            <w:r>
              <w:rPr>
                <w:rFonts w:hint="eastAsia" w:ascii="宋体" w:hAnsi="宋体" w:eastAsia="宋体" w:cs="宋体"/>
                <w:sz w:val="21"/>
                <w:szCs w:val="21"/>
                <w:u w:val="single"/>
              </w:rPr>
              <w:t>.</w:t>
            </w:r>
            <w:r>
              <w:rPr>
                <w:rFonts w:hint="eastAsia" w:ascii="宋体" w:hAnsi="宋体" w:cs="宋体"/>
                <w:sz w:val="21"/>
                <w:szCs w:val="21"/>
                <w:u w:val="single"/>
                <w:lang w:val="en-US" w:eastAsia="zh-CN"/>
              </w:rPr>
              <w:t>24</w:t>
            </w:r>
            <w:r>
              <w:rPr>
                <w:rFonts w:hint="eastAsia" w:ascii="宋体" w:hAnsi="宋体" w:eastAsia="宋体" w:cs="宋体"/>
                <w:sz w:val="21"/>
                <w:szCs w:val="21"/>
                <w:u w:val="single"/>
              </w:rPr>
              <w:t>-</w:t>
            </w:r>
            <w:r>
              <w:rPr>
                <w:rFonts w:hint="eastAsia" w:ascii="宋体" w:hAnsi="宋体" w:cs="宋体"/>
                <w:sz w:val="21"/>
                <w:szCs w:val="21"/>
                <w:u w:val="single"/>
                <w:lang w:val="en-US" w:eastAsia="zh-CN"/>
              </w:rPr>
              <w:t>25</w:t>
            </w:r>
            <w:r>
              <w:rPr>
                <w:rFonts w:hint="eastAsia" w:ascii="宋体" w:hAnsi="宋体" w:eastAsia="宋体" w:cs="宋体"/>
                <w:sz w:val="21"/>
                <w:szCs w:val="21"/>
                <w:u w:val="single"/>
              </w:rPr>
              <w:t>日内审。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sz w:val="21"/>
                <w:szCs w:val="21"/>
                <w:u w:val="single"/>
              </w:rPr>
            </w:pPr>
            <w:r>
              <w:rPr>
                <w:rFonts w:hint="eastAsia" w:ascii="宋体" w:hAnsi="宋体" w:eastAsia="宋体" w:cs="宋体"/>
                <w:sz w:val="21"/>
                <w:szCs w:val="21"/>
                <w:u w:val="single"/>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360" w:lineRule="auto"/>
              <w:rPr>
                <w:rFonts w:ascii="宋体" w:hAnsi="宋体"/>
                <w:b/>
                <w:sz w:val="21"/>
                <w:szCs w:val="21"/>
              </w:rPr>
            </w:pPr>
            <w:r>
              <w:rPr>
                <w:rFonts w:hint="eastAsia" w:ascii="宋体" w:hAnsi="宋体" w:eastAsia="宋体" w:cs="宋体"/>
                <w:sz w:val="21"/>
                <w:szCs w:val="21"/>
                <w:u w:val="single"/>
              </w:rPr>
              <w:t>公司的管理体系符合标准要求，体系运行有效。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了解管理评审的策划; </w:t>
            </w:r>
          </w:p>
          <w:p>
            <w:pPr>
              <w:spacing w:line="360" w:lineRule="auto"/>
              <w:ind w:firstLine="210" w:firstLineChars="100"/>
              <w:rPr>
                <w:rFonts w:hint="eastAsia" w:ascii="宋体" w:hAnsi="宋体" w:eastAsia="宋体" w:cs="宋体"/>
                <w:b/>
                <w:color w:val="000000" w:themeColor="text1"/>
                <w:sz w:val="21"/>
                <w:szCs w:val="21"/>
              </w:rPr>
            </w:pPr>
            <w:r>
              <w:rPr>
                <w:rFonts w:hint="eastAsia" w:ascii="宋体" w:hAnsi="宋体" w:eastAsia="宋体" w:cs="宋体"/>
                <w:sz w:val="21"/>
                <w:szCs w:val="21"/>
                <w:u w:val="single"/>
              </w:rPr>
              <w:t>每年一次，20</w:t>
            </w:r>
            <w:r>
              <w:rPr>
                <w:rFonts w:hint="eastAsia" w:ascii="宋体" w:hAnsi="宋体" w:cs="宋体"/>
                <w:sz w:val="21"/>
                <w:szCs w:val="21"/>
                <w:u w:val="single"/>
                <w:lang w:val="en-US" w:eastAsia="zh-CN"/>
              </w:rPr>
              <w:t>20</w:t>
            </w:r>
            <w:r>
              <w:rPr>
                <w:rFonts w:hint="eastAsia" w:ascii="宋体" w:hAnsi="宋体" w:eastAsia="宋体" w:cs="宋体"/>
                <w:sz w:val="21"/>
                <w:szCs w:val="21"/>
                <w:u w:val="single"/>
              </w:rPr>
              <w:t>.</w:t>
            </w:r>
            <w:r>
              <w:rPr>
                <w:rFonts w:hint="eastAsia" w:ascii="宋体" w:hAnsi="宋体" w:cs="宋体"/>
                <w:sz w:val="21"/>
                <w:szCs w:val="21"/>
                <w:u w:val="single"/>
                <w:lang w:val="en-US" w:eastAsia="zh-CN"/>
              </w:rPr>
              <w:t>7</w:t>
            </w:r>
            <w:r>
              <w:rPr>
                <w:rFonts w:hint="eastAsia" w:ascii="宋体" w:hAnsi="宋体" w:eastAsia="宋体" w:cs="宋体"/>
                <w:sz w:val="21"/>
                <w:szCs w:val="21"/>
                <w:u w:val="single"/>
              </w:rPr>
              <w:t>.</w:t>
            </w:r>
            <w:r>
              <w:rPr>
                <w:rFonts w:hint="eastAsia" w:ascii="宋体" w:hAnsi="宋体" w:cs="宋体"/>
                <w:sz w:val="21"/>
                <w:szCs w:val="21"/>
                <w:u w:val="single"/>
                <w:lang w:val="en-US" w:eastAsia="zh-CN"/>
              </w:rPr>
              <w:t>3</w:t>
            </w:r>
            <w:r>
              <w:rPr>
                <w:rFonts w:hint="eastAsia" w:ascii="宋体" w:hAnsi="宋体" w:eastAsia="宋体" w:cs="宋体"/>
                <w:sz w:val="21"/>
                <w:szCs w:val="21"/>
                <w:u w:val="single"/>
              </w:rPr>
              <w:t>0日管理评审。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了解管理评审输入是否充分; </w:t>
            </w:r>
          </w:p>
          <w:p>
            <w:pPr>
              <w:spacing w:line="360" w:lineRule="auto"/>
              <w:ind w:firstLine="210" w:firstLineChars="100"/>
              <w:rPr>
                <w:rFonts w:hint="eastAsia" w:ascii="宋体" w:hAnsi="宋体" w:eastAsia="宋体" w:cs="宋体"/>
                <w:sz w:val="21"/>
                <w:szCs w:val="21"/>
                <w:u w:val="single"/>
              </w:rPr>
            </w:pPr>
            <w:r>
              <w:rPr>
                <w:rFonts w:hint="eastAsia" w:ascii="宋体" w:hAnsi="宋体" w:eastAsia="宋体" w:cs="宋体"/>
                <w:sz w:val="21"/>
                <w:szCs w:val="21"/>
                <w:u w:val="single"/>
              </w:rPr>
              <w:t>输入基本充分。</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了解管理评审结论; </w:t>
            </w:r>
          </w:p>
          <w:p>
            <w:pPr>
              <w:spacing w:line="360" w:lineRule="auto"/>
              <w:rPr>
                <w:rFonts w:ascii="宋体" w:hAnsi="宋体"/>
                <w:b/>
                <w:sz w:val="21"/>
                <w:szCs w:val="21"/>
              </w:rPr>
            </w:pPr>
            <w:r>
              <w:rPr>
                <w:rFonts w:hint="eastAsia" w:ascii="宋体" w:hAnsi="宋体" w:eastAsia="宋体" w:cs="宋体"/>
                <w:sz w:val="21"/>
                <w:szCs w:val="21"/>
                <w:u w:val="single"/>
              </w:rPr>
              <w:t>　公司的管理体系是适宜的、充分的和有效的，达到了顾客满意和持续改进的目的。</w:t>
            </w:r>
            <w:r>
              <w:rPr>
                <w:rFonts w:hint="eastAsia" w:ascii="宋体" w:hAnsi="宋体"/>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360" w:lineRule="auto"/>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360" w:lineRule="auto"/>
              <w:ind w:leftChars="0"/>
              <w:jc w:val="left"/>
              <w:rPr>
                <w:rFonts w:ascii="宋体" w:hAnsi="宋体"/>
                <w:b/>
                <w:sz w:val="21"/>
                <w:szCs w:val="21"/>
              </w:rPr>
            </w:pPr>
            <w:r>
              <w:rPr>
                <w:rFonts w:hint="eastAsia" w:ascii="宋体" w:hAnsi="宋体"/>
                <w:b w:val="0"/>
                <w:bCs/>
                <w:sz w:val="21"/>
                <w:szCs w:val="21"/>
              </w:rPr>
              <w:t>查到</w:t>
            </w:r>
            <w:r>
              <w:rPr>
                <w:rFonts w:hint="eastAsia" w:ascii="宋体" w:hAnsi="宋体"/>
                <w:b w:val="0"/>
                <w:bCs/>
                <w:sz w:val="21"/>
                <w:szCs w:val="21"/>
                <w:lang w:val="en-US" w:eastAsia="zh-CN"/>
              </w:rPr>
              <w:t>2020.5.21公司新扩增年产2000吨汽车零配件生产线项目验收《监测报告》（泽希检测（综）202003008号），</w:t>
            </w:r>
            <w:r>
              <w:rPr>
                <w:rFonts w:hint="eastAsia" w:ascii="宋体" w:hAnsi="宋体"/>
                <w:b w:val="0"/>
                <w:bCs/>
                <w:sz w:val="21"/>
                <w:szCs w:val="21"/>
              </w:rPr>
              <w:t>监测单位</w:t>
            </w:r>
            <w:r>
              <w:rPr>
                <w:rFonts w:hint="eastAsia" w:ascii="宋体" w:hAnsi="宋体"/>
                <w:b w:val="0"/>
                <w:bCs/>
                <w:sz w:val="21"/>
                <w:szCs w:val="21"/>
                <w:lang w:eastAsia="zh-CN"/>
              </w:rPr>
              <w:t>：</w:t>
            </w:r>
            <w:r>
              <w:rPr>
                <w:rFonts w:hint="eastAsia" w:ascii="宋体" w:hAnsi="宋体"/>
                <w:b w:val="0"/>
                <w:bCs/>
                <w:sz w:val="21"/>
                <w:szCs w:val="21"/>
              </w:rPr>
              <w:t>陕西</w:t>
            </w:r>
            <w:r>
              <w:rPr>
                <w:rFonts w:hint="eastAsia" w:ascii="宋体" w:hAnsi="宋体"/>
                <w:b w:val="0"/>
                <w:bCs/>
                <w:sz w:val="21"/>
                <w:szCs w:val="21"/>
                <w:lang w:val="en-US" w:eastAsia="zh-CN"/>
              </w:rPr>
              <w:t>泽希检测服务</w:t>
            </w:r>
            <w:r>
              <w:rPr>
                <w:rFonts w:hint="eastAsia" w:ascii="宋体" w:hAnsi="宋体"/>
                <w:b w:val="0"/>
                <w:bCs/>
                <w:sz w:val="21"/>
                <w:szCs w:val="21"/>
              </w:rPr>
              <w:t>有限公司。对公司</w:t>
            </w:r>
            <w:r>
              <w:rPr>
                <w:rFonts w:hint="eastAsia" w:ascii="宋体" w:hAnsi="宋体"/>
                <w:b w:val="0"/>
                <w:bCs/>
                <w:sz w:val="21"/>
                <w:szCs w:val="21"/>
                <w:lang w:val="en-US" w:eastAsia="zh-CN"/>
              </w:rPr>
              <w:t>有组织废气、无组织废气、废水、噪声等测，</w:t>
            </w:r>
            <w:r>
              <w:rPr>
                <w:rFonts w:hint="eastAsia" w:ascii="宋体" w:hAnsi="宋体"/>
                <w:b w:val="0"/>
                <w:bCs/>
                <w:sz w:val="21"/>
                <w:szCs w:val="21"/>
              </w:rPr>
              <w:t>监测结果符合标准限值要求。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rPr>
                <w:rFonts w:ascii="宋体" w:hAnsi="宋体"/>
                <w:b/>
                <w:sz w:val="21"/>
                <w:szCs w:val="21"/>
              </w:rPr>
            </w:pPr>
            <w:r>
              <w:rPr>
                <w:rFonts w:hint="eastAsia" w:ascii="宋体" w:hAnsi="宋体"/>
                <w:b w:val="0"/>
                <w:bCs/>
                <w:sz w:val="21"/>
                <w:szCs w:val="21"/>
                <w:lang w:val="en-US" w:eastAsia="zh-CN"/>
              </w:rPr>
              <w:t>2020.5.21公司新扩增年产2000吨汽车零配件生产线项目验收《监测报告》（泽希检测（综）202003008号），</w:t>
            </w:r>
            <w:r>
              <w:rPr>
                <w:rFonts w:hint="eastAsia" w:ascii="宋体" w:hAnsi="宋体"/>
                <w:b w:val="0"/>
                <w:bCs/>
                <w:sz w:val="21"/>
                <w:szCs w:val="21"/>
              </w:rPr>
              <w:t>监测单位</w:t>
            </w:r>
            <w:r>
              <w:rPr>
                <w:rFonts w:hint="eastAsia" w:ascii="宋体" w:hAnsi="宋体"/>
                <w:b w:val="0"/>
                <w:bCs/>
                <w:sz w:val="21"/>
                <w:szCs w:val="21"/>
                <w:lang w:eastAsia="zh-CN"/>
              </w:rPr>
              <w:t>：</w:t>
            </w:r>
            <w:r>
              <w:rPr>
                <w:rFonts w:hint="eastAsia" w:ascii="宋体" w:hAnsi="宋体"/>
                <w:b w:val="0"/>
                <w:bCs/>
                <w:sz w:val="21"/>
                <w:szCs w:val="21"/>
              </w:rPr>
              <w:t>陕西</w:t>
            </w:r>
            <w:r>
              <w:rPr>
                <w:rFonts w:hint="eastAsia" w:ascii="宋体" w:hAnsi="宋体"/>
                <w:b w:val="0"/>
                <w:bCs/>
                <w:sz w:val="21"/>
                <w:szCs w:val="21"/>
                <w:lang w:val="en-US" w:eastAsia="zh-CN"/>
              </w:rPr>
              <w:t>泽希检测服务</w:t>
            </w:r>
            <w:r>
              <w:rPr>
                <w:rFonts w:hint="eastAsia" w:ascii="宋体" w:hAnsi="宋体"/>
                <w:b w:val="0"/>
                <w:bCs/>
                <w:sz w:val="21"/>
                <w:szCs w:val="21"/>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asciiTheme="minorEastAsia" w:hAnsiTheme="minorEastAsia" w:eastAsiaTheme="minorEastAsia"/>
                <w:sz w:val="21"/>
                <w:szCs w:val="21"/>
                <w:u w:val="none"/>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hint="default" w:ascii="宋体" w:hAnsi="宋体" w:eastAsia="宋体"/>
                <w:b/>
                <w:sz w:val="21"/>
                <w:szCs w:val="21"/>
                <w:lang w:val="en-US" w:eastAsia="zh-CN"/>
              </w:rPr>
            </w:pPr>
            <w:r>
              <w:rPr>
                <w:rFonts w:hint="eastAsia" w:ascii="宋体" w:hAnsi="宋体"/>
                <w:b/>
                <w:sz w:val="21"/>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创新情况</w:t>
            </w:r>
          </w:p>
          <w:p>
            <w:pPr>
              <w:numPr>
                <w:ilvl w:val="0"/>
                <w:numId w:val="0"/>
              </w:numPr>
              <w:spacing w:line="240" w:lineRule="exact"/>
              <w:ind w:left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0" w:type="auto"/>
          </w:tcPr>
          <w:p>
            <w:pPr>
              <w:spacing w:line="240" w:lineRule="exact"/>
              <w:jc w:val="center"/>
              <w:rPr>
                <w:b/>
                <w:sz w:val="20"/>
              </w:rPr>
            </w:pPr>
          </w:p>
        </w:tc>
        <w:tc>
          <w:tcPr>
            <w:tcW w:w="0" w:type="auto"/>
            <w:vAlign w:val="top"/>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lang w:val="en-US" w:eastAsia="zh-CN"/>
              </w:rPr>
              <w:t>4.</w:t>
            </w:r>
            <w:r>
              <w:rPr>
                <w:rFonts w:hint="eastAsia" w:ascii="Times New Roman" w:hAnsi="Times New Roman" w:eastAsia="宋体" w:cs="Times New Roman"/>
                <w:b/>
                <w:color w:val="000000" w:themeColor="text1"/>
                <w:sz w:val="20"/>
                <w:szCs w:val="20"/>
              </w:rPr>
              <w:t>上次不符合的整改情况（再认证填写）</w:t>
            </w:r>
          </w:p>
          <w:p>
            <w:pPr>
              <w:pStyle w:val="2"/>
              <w:rPr>
                <w:lang w:val="en-US" w:eastAsia="zh-CN"/>
              </w:rPr>
            </w:pPr>
            <w:r>
              <w:rPr>
                <w:rFonts w:hint="eastAsia" w:ascii="Times New Roman" w:hAnsi="Times New Roman" w:eastAsia="宋体" w:cs="Times New Roman"/>
                <w:b w:val="0"/>
                <w:bCs w:val="0"/>
                <w:color w:val="000000" w:themeColor="text1"/>
                <w:sz w:val="20"/>
                <w:szCs w:val="20"/>
              </w:rPr>
              <w:t>上次不符合的</w:t>
            </w:r>
            <w:r>
              <w:rPr>
                <w:rFonts w:hint="eastAsia" w:ascii="Times New Roman" w:hAnsi="Times New Roman" w:eastAsia="宋体" w:cs="Times New Roman"/>
                <w:b w:val="0"/>
                <w:bCs w:val="0"/>
                <w:color w:val="000000" w:themeColor="text1"/>
                <w:sz w:val="20"/>
                <w:szCs w:val="20"/>
                <w:lang w:val="en-US" w:eastAsia="zh-CN"/>
              </w:rPr>
              <w:t>已完成</w:t>
            </w:r>
            <w:r>
              <w:rPr>
                <w:rFonts w:hint="eastAsia" w:ascii="Times New Roman" w:hAnsi="Times New Roman" w:eastAsia="宋体" w:cs="Times New Roman"/>
                <w:b w:val="0"/>
                <w:bCs w:val="0"/>
                <w:color w:val="000000" w:themeColor="text1"/>
                <w:sz w:val="20"/>
                <w:szCs w:val="20"/>
              </w:rPr>
              <w:t>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w:t>
      </w:r>
      <w:r>
        <w:rPr>
          <w:rFonts w:hint="eastAsia" w:ascii="宋体" w:hAnsi="宋体"/>
          <w:b/>
          <w:szCs w:val="21"/>
          <w:lang w:val="en-US" w:eastAsia="zh-CN"/>
        </w:rPr>
        <w:t>生产部</w:t>
      </w:r>
      <w:r>
        <w:rPr>
          <w:rFonts w:hint="eastAsia" w:ascii="宋体" w:hAnsi="宋体"/>
          <w:b/>
          <w:szCs w:val="21"/>
          <w:lang w:eastAsia="zh-CN"/>
        </w:rPr>
        <w:t>，</w:t>
      </w:r>
      <w:r>
        <w:rPr>
          <w:rFonts w:hint="eastAsia" w:ascii="宋体" w:hAnsi="宋体"/>
          <w:b/>
          <w:szCs w:val="21"/>
          <w:lang w:val="en-US" w:eastAsia="zh-CN"/>
        </w:rPr>
        <w:t>8.2</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220" w:firstLineChars="100"/>
              <w:rPr>
                <w:rFonts w:ascii="宋体" w:hAnsi="宋体"/>
                <w:b/>
                <w:szCs w:val="21"/>
              </w:rPr>
            </w:pPr>
            <w:r>
              <w:rPr>
                <w:rFonts w:hint="eastAsia"/>
                <w:b w:val="0"/>
                <w:bCs/>
                <w:color w:val="000000" w:themeColor="text1"/>
                <w:sz w:val="22"/>
                <w:szCs w:val="22"/>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drawing>
          <wp:anchor distT="0" distB="0" distL="114300" distR="114300" simplePos="0" relativeHeight="251660288" behindDoc="0" locked="0" layoutInCell="1" allowOverlap="1">
            <wp:simplePos x="0" y="0"/>
            <wp:positionH relativeFrom="column">
              <wp:posOffset>1896110</wp:posOffset>
            </wp:positionH>
            <wp:positionV relativeFrom="paragraph">
              <wp:posOffset>306070</wp:posOffset>
            </wp:positionV>
            <wp:extent cx="323850" cy="255905"/>
            <wp:effectExtent l="0" t="0" r="6350"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3850" cy="25590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2020.9.18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1312" behindDoc="0" locked="0" layoutInCell="1" allowOverlap="1">
            <wp:simplePos x="0" y="0"/>
            <wp:positionH relativeFrom="column">
              <wp:posOffset>1521460</wp:posOffset>
            </wp:positionH>
            <wp:positionV relativeFrom="paragraph">
              <wp:posOffset>111760</wp:posOffset>
            </wp:positionV>
            <wp:extent cx="309245" cy="244475"/>
            <wp:effectExtent l="0" t="0" r="825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09245" cy="244475"/>
                    </a:xfrm>
                    <a:prstGeom prst="rect">
                      <a:avLst/>
                    </a:prstGeom>
                    <a:noFill/>
                    <a:ln>
                      <a:noFill/>
                    </a:ln>
                  </pic:spPr>
                </pic:pic>
              </a:graphicData>
            </a:graphic>
          </wp:anchor>
        </w:drawing>
      </w:r>
      <w:r>
        <w:rPr>
          <w:rFonts w:hint="eastAsia"/>
          <w:b/>
          <w:sz w:val="21"/>
          <w:szCs w:val="21"/>
        </w:rPr>
        <w:t>组长签字：</w:t>
      </w:r>
    </w:p>
    <w:p>
      <w:pPr>
        <w:ind w:left="783" w:hanging="783" w:hangingChars="300"/>
        <w:rPr>
          <w:rFonts w:hint="default" w:eastAsia="宋体"/>
          <w:b/>
          <w:sz w:val="26"/>
          <w:szCs w:val="26"/>
          <w:lang w:val="en-US" w:eastAsia="zh-CN"/>
        </w:rPr>
      </w:pPr>
      <w:r>
        <w:rPr>
          <w:rFonts w:hint="eastAsia"/>
          <w:b/>
          <w:sz w:val="26"/>
          <w:szCs w:val="26"/>
          <w:lang w:val="en-US" w:eastAsia="zh-CN"/>
        </w:rPr>
        <w:t xml:space="preserve">                                   2020.9.20</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rPr>
          <w:rFonts w:hint="eastAsia"/>
          <w:b/>
          <w:szCs w:val="24"/>
        </w:rPr>
      </w:pPr>
    </w:p>
    <w:p>
      <w:pPr>
        <w:spacing w:line="360" w:lineRule="auto"/>
        <w:ind w:left="600"/>
        <w:rPr>
          <w:rFonts w:hint="eastAsia"/>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pStyle w:val="2"/>
      </w:pP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rFonts w:hint="eastAsia"/>
          <w:b/>
          <w:szCs w:val="24"/>
        </w:rPr>
      </w:pP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376B6"/>
    <w:multiLevelType w:val="singleLevel"/>
    <w:tmpl w:val="ABD376B6"/>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508A75B"/>
    <w:multiLevelType w:val="singleLevel"/>
    <w:tmpl w:val="0508A75B"/>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253E15"/>
    <w:rsid w:val="47EF2BEB"/>
    <w:rsid w:val="51AA6FBB"/>
    <w:rsid w:val="6D412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0"/>
    <w:semiHidden/>
    <w:uiPriority w:val="99"/>
    <w:rPr>
      <w:sz w:val="18"/>
      <w:szCs w:val="18"/>
    </w:rPr>
  </w:style>
  <w:style w:type="paragraph" w:styleId="5">
    <w:name w:val="footer"/>
    <w:basedOn w:val="1"/>
    <w:link w:val="11"/>
    <w:semiHidden/>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locked/>
    <w:uiPriority w:val="99"/>
    <w:rPr>
      <w:rFonts w:ascii="Times New Roman" w:hAnsi="Times New Roman" w:eastAsia="宋体" w:cs="Times New Roman"/>
      <w:sz w:val="18"/>
      <w:szCs w:val="18"/>
    </w:rPr>
  </w:style>
  <w:style w:type="character" w:customStyle="1" w:styleId="11">
    <w:name w:val="页脚 Char"/>
    <w:link w:val="5"/>
    <w:semiHidden/>
    <w:locked/>
    <w:uiPriority w:val="99"/>
    <w:rPr>
      <w:rFonts w:ascii="Times New Roman" w:hAnsi="Times New Roman" w:eastAsia="宋体" w:cs="Times New Roman"/>
      <w:sz w:val="18"/>
      <w:szCs w:val="18"/>
    </w:rPr>
  </w:style>
  <w:style w:type="character" w:customStyle="1" w:styleId="12">
    <w:name w:val="页眉 Char"/>
    <w:link w:val="6"/>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2020-09-18T05:55:37Z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