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0472-2020-Q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深圳市富昌隆包装材料有限公司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14:textFill>
                  <w14:solidFill>
                    <w14:schemeClr w14:val="tx1"/>
                  </w14:solidFill>
                </w14:textFill>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14:textFill>
                  <w14:solidFill>
                    <w14:schemeClr w14:val="tx1"/>
                  </w14:solidFill>
                </w14:textFill>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14:textFill>
                  <w14:solidFill>
                    <w14:schemeClr w14:val="tx1"/>
                  </w14:solidFill>
                </w14:textFill>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14:textFill>
                  <w14:solidFill>
                    <w14:schemeClr w14:val="tx1"/>
                  </w14:solidFill>
                </w14:textFill>
              </w:rPr>
              <w:t>010</w:t>
            </w:r>
            <w:r>
              <w:rPr>
                <w:rFonts w:hint="eastAsia"/>
                <w:b/>
                <w:color w:val="000000" w:themeColor="text1"/>
                <w:sz w:val="20"/>
                <w:szCs w:val="20"/>
                <w14:textFill>
                  <w14:solidFill>
                    <w14:schemeClr w14:val="tx1"/>
                  </w14:solidFill>
                </w14:textFill>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李京田</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14.02.04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 xml:space="preserve">A/0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深圳市富昌隆包装材料有限公司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深圳市龙岗区龙城街道龙西社区清水路天龙巷3号第一栋</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518172</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深圳市龙岗区龙城街道龙西社区清水路天龙巷3号第一栋</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518172</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韩新茂</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0755-89622609</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韩新茂</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韩新茂</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包装胶带和拉伸膜产品的生产</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14.02.04</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r>
        <w:rPr>
          <w:rFonts w:hint="eastAsia" w:ascii="宋体" w:hAnsi="宋体"/>
          <w:b/>
          <w:color w:val="000000"/>
          <w:spacing w:val="-2"/>
          <w:sz w:val="20"/>
          <w:szCs w:val="20"/>
          <w:lang w:val="en-US" w:eastAsia="zh-CN"/>
        </w:rPr>
        <w:t>手册、程序文件</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rPr>
          <w:rFonts w:ascii="宋体"/>
          <w:b/>
          <w:color w:val="000000"/>
          <w:sz w:val="20"/>
          <w:szCs w:val="20"/>
        </w:rPr>
      </w:pPr>
      <w:r>
        <w:rPr>
          <w:rFonts w:hint="eastAsia" w:ascii="宋体" w:hAnsi="宋体"/>
          <w:b/>
          <w:color w:val="000000"/>
          <w:sz w:val="20"/>
          <w:szCs w:val="20"/>
        </w:rPr>
        <w:t>部门：</w:t>
      </w:r>
      <w:r>
        <w:rPr>
          <w:rFonts w:hint="eastAsia"/>
        </w:rPr>
        <w:t>行政部、业务部、品质部、生产部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color w:val="000000"/>
          <w:sz w:val="20"/>
          <w:szCs w:val="20"/>
          <w:lang w:val="en-US" w:eastAsia="zh-CN"/>
        </w:rPr>
        <w:t>生产场所、办公场所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vAlign w:val="top"/>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vAlign w:val="top"/>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vAlign w:val="top"/>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vAlign w:val="top"/>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vAlign w:val="top"/>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vAlign w:val="top"/>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pacing w:val="-10"/>
                <w:sz w:val="20"/>
                <w:szCs w:val="20"/>
              </w:rPr>
              <w:t>是</w:t>
            </w:r>
          </w:p>
        </w:tc>
        <w:tc>
          <w:tcPr>
            <w:tcW w:w="1280" w:type="dxa"/>
            <w:vAlign w:val="top"/>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pacing w:val="-10"/>
                <w:sz w:val="20"/>
                <w:szCs w:val="20"/>
              </w:rPr>
              <w:t>是</w:t>
            </w:r>
          </w:p>
        </w:tc>
        <w:tc>
          <w:tcPr>
            <w:tcW w:w="1280" w:type="dxa"/>
            <w:vAlign w:val="top"/>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vAlign w:val="top"/>
          </w:tcPr>
          <w:p>
            <w:pPr>
              <w:rPr>
                <w:rFonts w:ascii="宋体"/>
                <w:b/>
                <w:color w:val="000000"/>
                <w:spacing w:val="-10"/>
                <w:sz w:val="20"/>
                <w:szCs w:val="20"/>
              </w:rPr>
            </w:pPr>
            <w:r>
              <w:rPr>
                <w:rFonts w:hint="eastAsia" w:ascii="宋体" w:hAnsi="宋体" w:eastAsia="宋体" w:cs="宋体"/>
                <w:color w:val="000000"/>
                <w:spacing w:val="-10"/>
                <w:sz w:val="20"/>
                <w:szCs w:val="20"/>
              </w:rPr>
              <w:t>▉</w:t>
            </w:r>
            <w:r>
              <w:rPr>
                <w:rFonts w:hint="eastAsia" w:ascii="宋体" w:hAnsi="宋体"/>
                <w:b/>
                <w:color w:val="000000"/>
                <w:sz w:val="20"/>
                <w:szCs w:val="20"/>
              </w:rPr>
              <w:t>是</w:t>
            </w:r>
          </w:p>
        </w:tc>
        <w:tc>
          <w:tcPr>
            <w:tcW w:w="1308" w:type="dxa"/>
            <w:gridSpan w:val="2"/>
            <w:vAlign w:val="top"/>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合理</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vAlign w:val="top"/>
          </w:tcPr>
          <w:p>
            <w:pPr>
              <w:rPr>
                <w:rFonts w:ascii="宋体"/>
                <w:color w:val="000000"/>
                <w:spacing w:val="-10"/>
                <w:sz w:val="20"/>
                <w:szCs w:val="20"/>
              </w:rPr>
            </w:pPr>
            <w:r>
              <w:rPr>
                <w:rFonts w:hint="eastAsia" w:ascii="宋体" w:hAnsi="宋体" w:eastAsia="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 xml:space="preserve">包装胶带和拉伸膜产品的生产 </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rPr>
                <w:rFonts w:ascii="宋体"/>
                <w:b/>
                <w:color w:val="000000"/>
                <w:sz w:val="20"/>
                <w:szCs w:val="20"/>
              </w:rPr>
            </w:pPr>
            <w:r>
              <w:rPr>
                <w:rFonts w:hint="eastAsia" w:ascii="宋体" w:hAnsi="宋体"/>
                <w:b/>
                <w:color w:val="000000"/>
                <w:sz w:val="20"/>
                <w:szCs w:val="20"/>
              </w:rPr>
              <w:t>公司部门设置：</w:t>
            </w:r>
            <w:r>
              <w:rPr>
                <w:rFonts w:hint="eastAsia"/>
              </w:rPr>
              <w:t>行政部、业务部、品质部、生产部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rPr>
              <w:t>行政部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rPr>
              <w:t>行政部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t>深圳市龙岗区龙城街道龙西社区清水路天龙巷3号第一栋</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vAlign w:val="top"/>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041" w:type="dxa"/>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041" w:type="dxa"/>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eastAsia="宋体" w:cs="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vAlign w:val="top"/>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eastAsia="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hint="eastAsia" w:ascii="宋体" w:hAns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pacing w:val="-10"/>
                <w:sz w:val="20"/>
                <w:szCs w:val="20"/>
              </w:rPr>
              <w:t>产品技术标准号：</w:t>
            </w:r>
          </w:p>
          <w:p>
            <w:pPr>
              <w:rPr>
                <w:rFonts w:hint="eastAsia"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JBT 10456-2004 胶带封箱机   BB/T0024-2004《运输包装用拉伸缠绕膜》行业标准</w:t>
            </w:r>
          </w:p>
          <w:p>
            <w:pPr>
              <w:rPr>
                <w:rFonts w:hint="eastAsia"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GB/T 191   包装储运图示标志</w:t>
            </w:r>
          </w:p>
          <w:p>
            <w:pPr>
              <w:rPr>
                <w:rFonts w:hint="eastAsia"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GB/T 2035  塑料术语及其定义</w:t>
            </w:r>
          </w:p>
          <w:p>
            <w:pPr>
              <w:rPr>
                <w:rFonts w:hint="eastAsia"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GB/T 2410-2008  透明塑料透光率和雾度的测定</w:t>
            </w:r>
          </w:p>
          <w:p>
            <w:pPr>
              <w:rPr>
                <w:rFonts w:hint="eastAsia"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GB/T 2828.1  计数抽样检验程序  第1部分：按接收质量限（AQL）检索的逐批检验抽样计划</w:t>
            </w:r>
          </w:p>
          <w:p>
            <w:pPr>
              <w:rPr>
                <w:rFonts w:hint="eastAsia"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GB/T 2918  塑料试样状态调节和试验的标准环境</w:t>
            </w:r>
          </w:p>
          <w:p>
            <w:pPr>
              <w:rPr>
                <w:rFonts w:hint="eastAsia"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GB/T 4122.1  包装术语 第1部分：基础</w:t>
            </w:r>
          </w:p>
          <w:p>
            <w:pPr>
              <w:rPr>
                <w:rFonts w:hint="eastAsia"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GB/T 6672-2001  塑料薄膜和薄片 厚度测定 机械测量法</w:t>
            </w:r>
          </w:p>
          <w:p>
            <w:pPr>
              <w:rPr>
                <w:rFonts w:hint="eastAsia"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GB/T 1040.3-2006 塑料拉伸性能的测定 第3部分：薄膜和薄片的试验条件</w:t>
            </w:r>
          </w:p>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ascii="宋体" w:hAnsi="宋体"/>
                <w:color w:val="000000"/>
                <w:sz w:val="20"/>
                <w:szCs w:val="20"/>
                <w:lang w:val="en-US" w:eastAsia="zh-CN"/>
              </w:rPr>
            </w:pPr>
            <w:r>
              <w:rPr>
                <w:rFonts w:hint="eastAsia" w:ascii="宋体" w:hAnsi="宋体"/>
                <w:color w:val="000000"/>
                <w:sz w:val="20"/>
                <w:szCs w:val="20"/>
                <w:lang w:val="en-US" w:eastAsia="zh-CN"/>
              </w:rPr>
              <w:t>包装胶带工艺：半成品 - 切管分条- 检验 - 包装</w:t>
            </w:r>
          </w:p>
          <w:p>
            <w:r>
              <w:rPr>
                <w:rFonts w:hint="eastAsia" w:ascii="宋体" w:hAnsi="宋体"/>
                <w:color w:val="000000"/>
                <w:sz w:val="20"/>
                <w:szCs w:val="20"/>
                <w:lang w:val="en-US" w:eastAsia="zh-CN"/>
              </w:rPr>
              <w:t>拉伸膜生产工艺：投料---拉伸—检验—包装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color w:val="000000"/>
                <w:sz w:val="20"/>
                <w:szCs w:val="20"/>
                <w:lang w:val="en-US"/>
              </w:rPr>
            </w:pPr>
            <w:r>
              <w:rPr>
                <w:rFonts w:hint="eastAsia" w:ascii="宋体" w:hAnsi="宋体"/>
                <w:color w:val="000000"/>
                <w:sz w:val="20"/>
                <w:szCs w:val="20"/>
              </w:rPr>
              <w:t>关键过程有：</w:t>
            </w:r>
            <w:r>
              <w:rPr>
                <w:rFonts w:hint="eastAsia" w:ascii="宋体" w:hAnsi="宋体" w:eastAsia="宋体" w:cs="Times New Roman"/>
                <w:color w:val="auto"/>
                <w:kern w:val="2"/>
                <w:sz w:val="18"/>
                <w:szCs w:val="22"/>
                <w:lang w:val="en-US" w:eastAsia="zh-CN" w:bidi="ar-SA"/>
              </w:rPr>
              <w:t>切管分条</w:t>
            </w:r>
            <w:r>
              <w:rPr>
                <w:rFonts w:hint="eastAsia"/>
                <w:color w:val="auto"/>
                <w:szCs w:val="21"/>
                <w:lang w:val="en-US" w:eastAsia="zh-CN"/>
              </w:rPr>
              <w:t>过程</w:t>
            </w:r>
            <w:r>
              <w:rPr>
                <w:rFonts w:hint="eastAsia"/>
                <w:color w:val="auto"/>
                <w:szCs w:val="21"/>
              </w:rPr>
              <w:t xml:space="preserve"> </w:t>
            </w:r>
            <w:r>
              <w:rPr>
                <w:rFonts w:hint="eastAsia"/>
                <w:color w:val="auto"/>
                <w:szCs w:val="21"/>
                <w:lang w:eastAsia="zh-CN"/>
              </w:rPr>
              <w:t>、</w:t>
            </w:r>
            <w:r>
              <w:rPr>
                <w:rFonts w:hint="eastAsia"/>
                <w:color w:val="auto"/>
                <w:szCs w:val="21"/>
              </w:rPr>
              <w:t xml:space="preserve">  拉伸 </w:t>
            </w:r>
            <w:r>
              <w:rPr>
                <w:rFonts w:hint="eastAsia"/>
                <w:color w:val="auto"/>
                <w:szCs w:val="21"/>
                <w:lang w:val="en-US" w:eastAsia="zh-CN"/>
              </w:rPr>
              <w:t>过程</w:t>
            </w:r>
            <w:r>
              <w:rPr>
                <w:rFonts w:hint="eastAsia"/>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color w:val="000000"/>
                <w:sz w:val="20"/>
                <w:szCs w:val="20"/>
                <w:lang w:val="en-US"/>
              </w:rPr>
            </w:pPr>
            <w:r>
              <w:rPr>
                <w:rFonts w:hint="eastAsia" w:ascii="宋体" w:hAnsi="宋体"/>
                <w:color w:val="000000"/>
                <w:sz w:val="20"/>
                <w:szCs w:val="20"/>
              </w:rPr>
              <w:t>针对关键过程建立的控制文件有：</w:t>
            </w:r>
            <w:r>
              <w:rPr>
                <w:rFonts w:hint="eastAsia" w:ascii="宋体" w:hAnsi="宋体" w:eastAsia="宋体" w:cs="Times New Roman"/>
                <w:color w:val="auto"/>
                <w:kern w:val="2"/>
                <w:sz w:val="18"/>
                <w:szCs w:val="22"/>
                <w:lang w:val="en-US" w:eastAsia="zh-CN" w:bidi="ar-SA"/>
              </w:rPr>
              <w:t>切管分条</w:t>
            </w:r>
            <w:r>
              <w:rPr>
                <w:rFonts w:hint="eastAsia" w:ascii="宋体" w:hAnsi="宋体"/>
                <w:color w:val="000000"/>
                <w:sz w:val="20"/>
                <w:szCs w:val="20"/>
                <w:lang w:val="en-US" w:eastAsia="zh-CN"/>
              </w:rPr>
              <w:t>过程工艺、拉伸过程工艺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eastAsia="宋体" w:cs="Times New Roman"/>
                <w:color w:val="auto"/>
                <w:kern w:val="2"/>
                <w:sz w:val="18"/>
                <w:szCs w:val="22"/>
                <w:lang w:val="en-US" w:eastAsia="zh-CN" w:bidi="ar-SA"/>
              </w:rPr>
              <w:t>切管分条</w:t>
            </w:r>
            <w:r>
              <w:rPr>
                <w:rFonts w:hint="eastAsia"/>
                <w:color w:val="auto"/>
                <w:szCs w:val="21"/>
                <w:lang w:val="en-US" w:eastAsia="zh-CN"/>
              </w:rPr>
              <w:t>过程</w:t>
            </w:r>
            <w:r>
              <w:rPr>
                <w:rFonts w:hint="eastAsia"/>
                <w:color w:val="auto"/>
                <w:szCs w:val="21"/>
              </w:rPr>
              <w:t xml:space="preserve"> </w:t>
            </w:r>
            <w:r>
              <w:rPr>
                <w:rFonts w:hint="eastAsia"/>
                <w:color w:val="auto"/>
                <w:szCs w:val="21"/>
                <w:lang w:eastAsia="zh-CN"/>
              </w:rPr>
              <w:t>、</w:t>
            </w:r>
            <w:r>
              <w:rPr>
                <w:rFonts w:hint="eastAsia"/>
                <w:color w:val="auto"/>
                <w:szCs w:val="21"/>
              </w:rPr>
              <w:t xml:space="preserve">  拉伸 </w:t>
            </w:r>
            <w:r>
              <w:rPr>
                <w:rFonts w:hint="eastAsia"/>
                <w:color w:val="auto"/>
                <w:szCs w:val="21"/>
                <w:lang w:val="en-US" w:eastAsia="zh-CN"/>
              </w:rPr>
              <w:t>过程</w:t>
            </w:r>
            <w:r>
              <w:rPr>
                <w:rFonts w:hint="eastAsia"/>
                <w:color w:val="auto"/>
                <w:szCs w:val="21"/>
              </w:rPr>
              <w:t xml:space="preserve"> </w:t>
            </w:r>
            <w:bookmarkStart w:id="24" w:name="_GoBack"/>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主要设备：拉伸膜吹膜机、胶纸分条机、纸管分切记、复卷机、吸塑机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themeColor="text1"/>
                <w:sz w:val="20"/>
                <w:szCs w:val="20"/>
                <w14:textFill>
                  <w14:solidFill>
                    <w14:schemeClr w14:val="tx1"/>
                  </w14:solidFill>
                </w14:textFill>
              </w:rPr>
              <w:t>工作环境干净，阳光充足，办公室内配备有灭火器消防器材，同时公司配备了办公所需的相应的电脑、电话、打印机、传真机等设施，能满足销售社会公共安全设备及器材的需要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rPr>
              <w:t>生产部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生产过程</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rPr>
                <w:rFonts w:ascii="宋体" w:hAns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p>
          <w:p>
            <w:pPr>
              <w:rPr>
                <w:rFonts w:ascii="宋体" w:hAnsi="宋体"/>
                <w:szCs w:val="21"/>
              </w:rPr>
            </w:pPr>
            <w:r>
              <w:rPr>
                <w:rFonts w:hint="eastAsia" w:ascii="宋体" w:hAnsi="宋体"/>
                <w:szCs w:val="21"/>
                <w:lang w:val="zh-CN"/>
              </w:rPr>
              <w:t>公</w:t>
            </w:r>
            <w:r>
              <w:rPr>
                <w:rFonts w:hint="eastAsia" w:ascii="宋体" w:hAnsi="宋体" w:eastAsia="宋体" w:cs="Times New Roman"/>
                <w:szCs w:val="21"/>
                <w:lang w:val="zh-CN"/>
              </w:rPr>
              <w:t>司于20</w:t>
            </w:r>
            <w:r>
              <w:rPr>
                <w:rFonts w:hint="eastAsia" w:ascii="宋体" w:hAnsi="宋体" w:eastAsia="宋体" w:cs="Times New Roman"/>
                <w:szCs w:val="21"/>
                <w:lang w:val="en-US" w:eastAsia="zh-CN"/>
              </w:rPr>
              <w:t>20</w:t>
            </w:r>
            <w:r>
              <w:rPr>
                <w:rFonts w:hint="eastAsia" w:ascii="宋体" w:hAnsi="宋体" w:eastAsia="宋体" w:cs="Times New Roman"/>
                <w:szCs w:val="21"/>
                <w:lang w:val="zh-CN"/>
              </w:rPr>
              <w:t>年</w:t>
            </w:r>
            <w:r>
              <w:rPr>
                <w:rFonts w:hint="eastAsia" w:ascii="宋体" w:hAnsi="宋体" w:cs="Times New Roman"/>
                <w:szCs w:val="21"/>
                <w:lang w:val="en-US" w:eastAsia="zh-CN"/>
              </w:rPr>
              <w:t>6</w:t>
            </w:r>
            <w:r>
              <w:rPr>
                <w:rFonts w:hint="eastAsia" w:ascii="宋体" w:hAnsi="宋体" w:eastAsia="宋体" w:cs="Times New Roman"/>
                <w:szCs w:val="21"/>
                <w:lang w:val="zh-CN"/>
              </w:rPr>
              <w:t>月</w:t>
            </w:r>
            <w:r>
              <w:rPr>
                <w:rFonts w:hint="eastAsia" w:ascii="宋体" w:hAnsi="宋体" w:cs="Times New Roman"/>
                <w:szCs w:val="21"/>
                <w:lang w:val="en-US" w:eastAsia="zh-CN"/>
              </w:rPr>
              <w:t>19</w:t>
            </w:r>
            <w:r>
              <w:rPr>
                <w:rFonts w:hint="eastAsia" w:ascii="宋体" w:hAnsi="宋体" w:eastAsia="宋体" w:cs="Times New Roman"/>
                <w:szCs w:val="21"/>
                <w:lang w:val="zh-CN"/>
              </w:rPr>
              <w:t>日进行了内部审核，组长：</w:t>
            </w:r>
            <w:r>
              <w:rPr>
                <w:rFonts w:hint="default" w:ascii="宋体" w:hAnsi="宋体"/>
                <w:color w:val="000000"/>
                <w:spacing w:val="-10"/>
                <w:sz w:val="20"/>
                <w:szCs w:val="20"/>
                <w:lang w:val="en-US" w:eastAsia="zh-CN"/>
              </w:rPr>
              <w:t>韩志鸿</w:t>
            </w:r>
            <w:r>
              <w:rPr>
                <w:rFonts w:hint="eastAsia" w:ascii="宋体" w:hAnsi="宋体"/>
                <w:color w:val="000000"/>
                <w:spacing w:val="-10"/>
                <w:sz w:val="20"/>
                <w:szCs w:val="20"/>
                <w:lang w:val="en-US" w:eastAsia="zh-CN"/>
              </w:rPr>
              <w:t xml:space="preserve"> </w:t>
            </w:r>
            <w:r>
              <w:rPr>
                <w:rFonts w:hint="eastAsia" w:ascii="宋体" w:hAnsi="宋体" w:eastAsia="宋体" w:cs="Times New Roman"/>
                <w:szCs w:val="21"/>
                <w:lang w:val="zh-CN"/>
              </w:rPr>
              <w:t xml:space="preserve"> 组员：</w:t>
            </w:r>
            <w:r>
              <w:rPr>
                <w:rFonts w:hint="default" w:ascii="宋体" w:hAnsi="宋体"/>
                <w:color w:val="000000"/>
                <w:spacing w:val="-10"/>
                <w:sz w:val="20"/>
                <w:szCs w:val="20"/>
                <w:lang w:val="en-US" w:eastAsia="zh-CN"/>
              </w:rPr>
              <w:t>刘竞花、郭小珍、焦永华</w:t>
            </w:r>
            <w:r>
              <w:rPr>
                <w:rFonts w:hint="eastAsia" w:ascii="宋体" w:hAnsi="宋体" w:eastAsia="宋体" w:cs="Times New Roman"/>
                <w:szCs w:val="21"/>
                <w:lang w:val="zh-CN"/>
              </w:rPr>
              <w:t>，均经</w:t>
            </w:r>
            <w:r>
              <w:rPr>
                <w:rFonts w:hint="eastAsia" w:ascii="宋体" w:hAnsi="宋体"/>
                <w:szCs w:val="21"/>
                <w:lang w:val="zh-CN"/>
              </w:rPr>
              <w:t>授权，形成了内部审核报告，审核发现不符合项</w:t>
            </w:r>
            <w:r>
              <w:rPr>
                <w:rFonts w:hint="eastAsia" w:ascii="宋体" w:hAnsi="宋体"/>
                <w:szCs w:val="21"/>
              </w:rPr>
              <w:t>1</w:t>
            </w:r>
            <w:r>
              <w:rPr>
                <w:rFonts w:hint="eastAsia" w:ascii="宋体" w:hAnsi="宋体"/>
                <w:szCs w:val="21"/>
                <w:lang w:val="zh-CN"/>
              </w:rPr>
              <w:t>个，</w:t>
            </w:r>
            <w:r>
              <w:rPr>
                <w:rFonts w:hint="eastAsia" w:ascii="宋体" w:hAnsi="宋体"/>
                <w:szCs w:val="21"/>
              </w:rPr>
              <w:t>一</w:t>
            </w:r>
            <w:r>
              <w:rPr>
                <w:rFonts w:hint="eastAsia" w:ascii="宋体" w:hAnsi="宋体"/>
                <w:szCs w:val="21"/>
                <w:lang w:val="zh-CN"/>
              </w:rPr>
              <w:t>般不符合。审核后责任部门，对不符合项均采取了纠正措施并已进行了验证，全部封闭。</w:t>
            </w:r>
            <w:r>
              <w:rPr>
                <w:rFonts w:hint="eastAsia" w:ascii="宋体" w:hAnsi="宋体"/>
                <w:szCs w:val="21"/>
              </w:rPr>
              <w:t xml:space="preserve"> 详见二阶段审核记录。</w:t>
            </w:r>
          </w:p>
          <w:p>
            <w:pPr>
              <w:pStyle w:val="2"/>
            </w:pP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pPr>
            <w:r>
              <w:rPr>
                <w:rFonts w:hint="eastAsia"/>
                <w:b/>
                <w:bCs/>
              </w:rPr>
              <w:t>了解内审是否覆盖了管理体系范围内的活动及标准的要求</w:t>
            </w:r>
            <w:r>
              <w:rPr>
                <w:b/>
                <w:bCs/>
              </w:rPr>
              <w:t>;</w:t>
            </w:r>
            <w:r>
              <w:t xml:space="preserve"> </w:t>
            </w:r>
          </w:p>
          <w:p>
            <w:pPr>
              <w:pStyle w:val="2"/>
              <w:rPr>
                <w:rFonts w:ascii="宋体"/>
                <w:b/>
                <w:color w:val="000000"/>
                <w:sz w:val="20"/>
                <w:szCs w:val="20"/>
              </w:rPr>
            </w:pPr>
            <w:r>
              <w:rPr>
                <w:rFonts w:hint="eastAsia" w:ascii="宋体" w:hAnsi="宋体"/>
                <w:color w:val="000000" w:themeColor="text1"/>
                <w:sz w:val="20"/>
                <w:szCs w:val="20"/>
                <w14:textFill>
                  <w14:solidFill>
                    <w14:schemeClr w14:val="tx1"/>
                  </w14:solidFill>
                </w14:textFill>
              </w:rPr>
              <w:t>能覆盖管理体系范围内的活动及标准的要求。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了解内审结论是什么？</w:t>
            </w:r>
          </w:p>
          <w:p>
            <w:pPr>
              <w:spacing w:line="260" w:lineRule="exact"/>
              <w:rPr>
                <w:rFonts w:ascii="宋体" w:hAnsi="宋体"/>
                <w:bCs/>
                <w:szCs w:val="21"/>
              </w:rPr>
            </w:pPr>
            <w:r>
              <w:rPr>
                <w:rFonts w:hint="eastAsia" w:ascii="宋体" w:hAnsi="宋体"/>
                <w:bCs/>
                <w:szCs w:val="21"/>
              </w:rPr>
              <w:t>质量管理体系在此次内部审核范围内，基本符合</w:t>
            </w:r>
            <w:r>
              <w:rPr>
                <w:rFonts w:ascii="宋体" w:hAnsi="宋体" w:cs="宋体"/>
                <w:color w:val="000000"/>
                <w:kern w:val="0"/>
                <w:u w:val="single"/>
              </w:rPr>
              <w:t>ISO9001:20</w:t>
            </w:r>
            <w:r>
              <w:rPr>
                <w:rFonts w:hint="eastAsia" w:ascii="宋体" w:hAnsi="宋体" w:cs="宋体"/>
                <w:color w:val="000000"/>
                <w:kern w:val="0"/>
                <w:u w:val="single"/>
              </w:rPr>
              <w:t>15</w:t>
            </w:r>
            <w:r>
              <w:rPr>
                <w:rFonts w:ascii="宋体" w:hAnsi="宋体" w:cs="宋体"/>
                <w:color w:val="000000"/>
                <w:kern w:val="0"/>
                <w:u w:val="single"/>
              </w:rPr>
              <w:t xml:space="preserve"> 标准</w:t>
            </w:r>
            <w:r>
              <w:rPr>
                <w:rFonts w:hint="eastAsia" w:ascii="宋体" w:hAnsi="宋体"/>
                <w:bCs/>
                <w:szCs w:val="21"/>
              </w:rPr>
              <w:t>标准并能得到基本有效的实施，已初步具有防止不符合、满足顾客、相关方要求与法律法规要求的能力，初步具有持续改进的机制。总之，本公司质量管理体运行基本上是有效的。</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了解管理评审的策划</w:t>
            </w:r>
            <w:r>
              <w:rPr>
                <w:rFonts w:ascii="宋体" w:hAnsi="宋体"/>
                <w:b/>
                <w:color w:val="000000" w:themeColor="text1"/>
                <w:sz w:val="20"/>
                <w:szCs w:val="20"/>
                <w14:textFill>
                  <w14:solidFill>
                    <w14:schemeClr w14:val="tx1"/>
                  </w14:solidFill>
                </w14:textFill>
              </w:rPr>
              <w:t xml:space="preserve">; </w:t>
            </w:r>
          </w:p>
          <w:p>
            <w:pPr>
              <w:spacing w:line="260" w:lineRule="exact"/>
              <w:rPr>
                <w:rFonts w:ascii="宋体"/>
                <w:b/>
                <w:color w:val="000000"/>
                <w:sz w:val="20"/>
                <w:szCs w:val="20"/>
              </w:rPr>
            </w:pPr>
            <w:r>
              <w:rPr>
                <w:rFonts w:hint="eastAsia" w:ascii="宋体" w:hAnsi="宋体"/>
                <w:szCs w:val="21"/>
                <w:lang w:val="zh-CN"/>
              </w:rPr>
              <w:t>管理评审时间安排：</w:t>
            </w:r>
            <w:r>
              <w:rPr>
                <w:rFonts w:hint="eastAsia"/>
              </w:rPr>
              <w:t>20</w:t>
            </w:r>
            <w:r>
              <w:rPr>
                <w:rFonts w:hint="eastAsia"/>
                <w:lang w:val="en-US" w:eastAsia="zh-CN"/>
              </w:rPr>
              <w:t>20</w:t>
            </w:r>
            <w:r>
              <w:rPr>
                <w:rFonts w:hint="eastAsia"/>
              </w:rPr>
              <w:t>年</w:t>
            </w:r>
            <w:r>
              <w:rPr>
                <w:rFonts w:hint="eastAsia"/>
                <w:lang w:val="en-US" w:eastAsia="zh-CN"/>
              </w:rPr>
              <w:t>7</w:t>
            </w:r>
            <w:r>
              <w:rPr>
                <w:rFonts w:hint="eastAsia"/>
              </w:rPr>
              <w:t>月</w:t>
            </w:r>
            <w:r>
              <w:rPr>
                <w:rFonts w:hint="eastAsia"/>
                <w:lang w:val="en-US" w:eastAsia="zh-CN"/>
              </w:rPr>
              <w:t>5日</w:t>
            </w:r>
            <w:r>
              <w:rPr>
                <w:rFonts w:hint="eastAsia" w:ascii="宋体" w:hAnsi="宋体"/>
                <w:szCs w:val="21"/>
                <w:lang w:val="zh-CN"/>
              </w:rPr>
              <w:t>。管理评审地点：公司会议室，由总经理主持并召开了管理评审，会议由公司最高管理者</w:t>
            </w:r>
            <w:r>
              <w:rPr>
                <w:rFonts w:hint="eastAsia"/>
                <w:lang w:val="en-US" w:eastAsia="zh-CN"/>
              </w:rPr>
              <w:t>白海英</w:t>
            </w:r>
            <w:r>
              <w:rPr>
                <w:rFonts w:hint="eastAsia" w:ascii="宋体" w:hAnsi="宋体"/>
                <w:szCs w:val="21"/>
                <w:lang w:val="zh-CN"/>
              </w:rPr>
              <w:t>总经理主持，会议就本公司的管理方针、管理目标、指标对本公司管理体系的现状的适宜性、充分性和有效性进行了一次全面地、正确地评价。参加本次管理评审会议的有管理者代表、贯标的各职能部门负责人等。</w:t>
            </w:r>
            <w:r>
              <w:rPr>
                <w:rFonts w:hint="eastAsia" w:ascii="宋体" w:hAnsi="宋体"/>
                <w:szCs w:val="21"/>
              </w:rPr>
              <w:t>各部门分别提交了部门运行报告，上述</w:t>
            </w:r>
            <w:r>
              <w:rPr>
                <w:rFonts w:hint="eastAsia" w:ascii="宋体" w:hAnsi="宋体"/>
                <w:szCs w:val="21"/>
                <w:lang w:val="zh-CN"/>
              </w:rPr>
              <w:t>相关证实材料</w:t>
            </w:r>
            <w:r>
              <w:rPr>
                <w:rFonts w:hint="eastAsia" w:ascii="宋体" w:hAnsi="宋体"/>
                <w:szCs w:val="21"/>
              </w:rPr>
              <w:t>所为输入</w:t>
            </w:r>
            <w:r>
              <w:rPr>
                <w:rFonts w:hint="eastAsia" w:ascii="宋体" w:hAnsi="宋体"/>
                <w:szCs w:val="21"/>
                <w:lang w:val="zh-CN"/>
              </w:rPr>
              <w:t>，</w:t>
            </w:r>
            <w:r>
              <w:rPr>
                <w:rFonts w:hint="eastAsia" w:ascii="宋体" w:hAnsi="宋体"/>
                <w:szCs w:val="21"/>
              </w:rPr>
              <w:t>输出为：</w:t>
            </w:r>
            <w:r>
              <w:rPr>
                <w:rFonts w:hint="eastAsia" w:ascii="宋体" w:hAnsi="宋体"/>
                <w:szCs w:val="21"/>
                <w:lang w:val="zh-CN"/>
              </w:rPr>
              <w:t>最终形成《管理评审报告》，</w:t>
            </w:r>
            <w:r>
              <w:rPr>
                <w:rFonts w:hint="eastAsia" w:ascii="宋体" w:hAnsi="宋体"/>
                <w:szCs w:val="21"/>
              </w:rPr>
              <w:t>并提出了改进计划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了解管理评审输入是否充分</w:t>
            </w:r>
            <w:r>
              <w:rPr>
                <w:rFonts w:ascii="宋体" w:hAnsi="宋体"/>
                <w:b/>
                <w:color w:val="000000" w:themeColor="text1"/>
                <w:sz w:val="20"/>
                <w:szCs w:val="20"/>
                <w14:textFill>
                  <w14:solidFill>
                    <w14:schemeClr w14:val="tx1"/>
                  </w14:solidFill>
                </w14:textFill>
              </w:rPr>
              <w:t xml:space="preserve">; </w:t>
            </w:r>
          </w:p>
          <w:p>
            <w:pPr>
              <w:spacing w:line="260" w:lineRule="exact"/>
              <w:rPr>
                <w:rFonts w:ascii="宋体"/>
                <w:b/>
                <w:color w:val="000000"/>
                <w:sz w:val="20"/>
                <w:szCs w:val="20"/>
              </w:rPr>
            </w:pPr>
            <w:r>
              <w:rPr>
                <w:rFonts w:hint="eastAsia" w:ascii="宋体" w:hAnsi="宋体"/>
                <w:bCs/>
                <w:color w:val="000000"/>
                <w:szCs w:val="21"/>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了解管理评审结论</w:t>
            </w:r>
            <w:r>
              <w:rPr>
                <w:rFonts w:ascii="宋体" w:hAnsi="宋体"/>
                <w:b/>
                <w:color w:val="000000" w:themeColor="text1"/>
                <w:sz w:val="20"/>
                <w:szCs w:val="20"/>
                <w14:textFill>
                  <w14:solidFill>
                    <w14:schemeClr w14:val="tx1"/>
                  </w14:solidFill>
                </w14:textFill>
              </w:rPr>
              <w:t xml:space="preserve">; </w:t>
            </w:r>
          </w:p>
          <w:p>
            <w:pPr>
              <w:spacing w:line="260" w:lineRule="exact"/>
              <w:rPr>
                <w:rFonts w:ascii="宋体" w:hAnsi="宋体"/>
                <w:bCs/>
                <w:color w:val="000000"/>
                <w:szCs w:val="21"/>
              </w:rPr>
            </w:pPr>
            <w:r>
              <w:rPr>
                <w:rFonts w:hint="eastAsia" w:ascii="宋体" w:hAnsi="宋体"/>
                <w:bCs/>
                <w:color w:val="000000"/>
                <w:szCs w:val="21"/>
              </w:rPr>
              <w:t>认为体系运行基本正常，符合法律法规及其他要求。</w:t>
            </w:r>
          </w:p>
          <w:p>
            <w:pPr>
              <w:spacing w:line="260" w:lineRule="exact"/>
              <w:rPr>
                <w:rFonts w:ascii="宋体" w:hAnsi="宋体"/>
                <w:bCs/>
                <w:color w:val="000000"/>
                <w:szCs w:val="21"/>
              </w:rPr>
            </w:pPr>
            <w:r>
              <w:rPr>
                <w:rFonts w:hint="eastAsia" w:ascii="宋体" w:hAnsi="宋体"/>
                <w:bCs/>
                <w:color w:val="000000"/>
                <w:szCs w:val="21"/>
              </w:rPr>
              <w:t>改进的建议：各部门加强对标准条款和管理文件的学习，加大培训力度等。</w:t>
            </w:r>
          </w:p>
          <w:p>
            <w:pPr>
              <w:spacing w:line="260" w:lineRule="exact"/>
              <w:rPr>
                <w:rFonts w:ascii="宋体" w:hAnsi="宋体"/>
                <w:bCs/>
                <w:color w:val="000000"/>
                <w:szCs w:val="21"/>
              </w:rPr>
            </w:pPr>
            <w:r>
              <w:rPr>
                <w:rFonts w:hint="eastAsia" w:ascii="宋体" w:hAnsi="宋体"/>
                <w:bCs/>
                <w:color w:val="000000"/>
                <w:szCs w:val="21"/>
              </w:rPr>
              <w:t>管理评审基本有效。</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2020.9.19</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Cs w:val="21"/>
        </w:rPr>
        <w:t>深圳市富昌隆包装材料有限公司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default"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default" w:eastAsia="宋体"/>
                <w:b/>
                <w:color w:val="000000"/>
                <w:sz w:val="22"/>
                <w:szCs w:val="22"/>
                <w:lang w:val="en-US" w:eastAsia="zh-CN"/>
              </w:rPr>
            </w:pPr>
            <w:r>
              <w:rPr>
                <w:rFonts w:hint="eastAsia"/>
                <w:b/>
                <w:color w:val="000000"/>
                <w:sz w:val="22"/>
                <w:szCs w:val="22"/>
              </w:rPr>
              <w:t>审核员：</w:t>
            </w:r>
            <w:r>
              <w:rPr>
                <w:rFonts w:hint="eastAsia"/>
                <w:b/>
                <w:color w:val="000000"/>
                <w:sz w:val="22"/>
                <w:szCs w:val="22"/>
                <w:lang w:val="en-US" w:eastAsia="zh-CN"/>
              </w:rPr>
              <w:t xml:space="preserve"> 李京田 </w:t>
            </w:r>
          </w:p>
          <w:p>
            <w:pPr>
              <w:spacing w:line="280" w:lineRule="exact"/>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2020</w:t>
            </w:r>
            <w:r>
              <w:rPr>
                <w:rFonts w:hint="eastAsia"/>
                <w:b/>
                <w:color w:val="000000"/>
                <w:sz w:val="22"/>
                <w:szCs w:val="22"/>
              </w:rPr>
              <w:t xml:space="preserve">  年 </w:t>
            </w:r>
            <w:r>
              <w:rPr>
                <w:rFonts w:hint="eastAsia"/>
                <w:b/>
                <w:color w:val="000000"/>
                <w:sz w:val="22"/>
                <w:szCs w:val="22"/>
                <w:lang w:val="en-US" w:eastAsia="zh-CN"/>
              </w:rPr>
              <w:t>9</w:t>
            </w:r>
            <w:r>
              <w:rPr>
                <w:rFonts w:hint="eastAsia"/>
                <w:b/>
                <w:color w:val="000000"/>
                <w:sz w:val="22"/>
                <w:szCs w:val="22"/>
              </w:rPr>
              <w:t xml:space="preserve">  月 </w:t>
            </w:r>
            <w:r>
              <w:rPr>
                <w:rFonts w:hint="eastAsia"/>
                <w:b/>
                <w:color w:val="000000"/>
                <w:sz w:val="22"/>
                <w:szCs w:val="22"/>
                <w:lang w:val="en-US" w:eastAsia="zh-CN"/>
              </w:rPr>
              <w:t>19</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eastAsia"/>
              </w:rPr>
            </w:pPr>
          </w:p>
          <w:p>
            <w:pPr>
              <w:spacing w:line="280" w:lineRule="exact"/>
              <w:rPr>
                <w:rFonts w:hint="eastAsia"/>
              </w:rPr>
            </w:pPr>
            <w:r>
              <w:rPr>
                <w:rFonts w:hint="eastAsia"/>
              </w:rPr>
              <w:t xml:space="preserve">受审核方确认：         </w:t>
            </w:r>
            <w:r>
              <w:rPr>
                <w:rFonts w:hint="eastAsia"/>
                <w:lang w:val="en-US" w:eastAsia="zh-CN"/>
              </w:rPr>
              <w:t xml:space="preserve">   </w:t>
            </w:r>
            <w:r>
              <w:rPr>
                <w:rFonts w:hint="eastAsia"/>
              </w:rPr>
              <w:t>日期：</w:t>
            </w:r>
            <w:r>
              <w:rPr>
                <w:rFonts w:hint="eastAsia"/>
                <w:lang w:val="en-US" w:eastAsia="zh-CN"/>
              </w:rPr>
              <w:t xml:space="preserve">   </w:t>
            </w:r>
            <w:r>
              <w:rPr>
                <w:rFonts w:hint="eastAsia"/>
              </w:rPr>
              <w:t>年   月    日</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rFonts w:hint="default" w:eastAsia="宋体"/>
                <w:b/>
                <w:color w:val="000000"/>
                <w:sz w:val="22"/>
                <w:szCs w:val="22"/>
                <w:lang w:val="en-US" w:eastAsia="zh-CN"/>
              </w:rPr>
            </w:pPr>
            <w:r>
              <w:rPr>
                <w:rFonts w:hint="eastAsia"/>
                <w:b/>
                <w:color w:val="000000"/>
                <w:sz w:val="22"/>
                <w:szCs w:val="22"/>
              </w:rPr>
              <w:t>验证人：</w:t>
            </w:r>
            <w:r>
              <w:rPr>
                <w:rFonts w:hint="eastAsia"/>
                <w:b/>
                <w:color w:val="000000"/>
                <w:sz w:val="22"/>
                <w:szCs w:val="22"/>
                <w:lang w:val="en-US" w:eastAsia="zh-CN"/>
              </w:rPr>
              <w:t xml:space="preserve">李京田   </w:t>
            </w:r>
            <w:r>
              <w:rPr>
                <w:rFonts w:hint="eastAsia"/>
                <w:b/>
                <w:color w:val="000000"/>
                <w:sz w:val="22"/>
                <w:szCs w:val="22"/>
              </w:rPr>
              <w:t>日期：</w:t>
            </w:r>
            <w:r>
              <w:rPr>
                <w:rFonts w:hint="eastAsia"/>
                <w:b/>
                <w:color w:val="000000"/>
                <w:sz w:val="22"/>
                <w:szCs w:val="22"/>
                <w:lang w:val="en-US" w:eastAsia="zh-CN"/>
              </w:rPr>
              <w:t>2020.9.20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8240" behindDoc="1" locked="0" layoutInCell="1" allowOverlap="1">
          <wp:simplePos x="0" y="0"/>
          <wp:positionH relativeFrom="column">
            <wp:posOffset>-635</wp:posOffset>
          </wp:positionH>
          <wp:positionV relativeFrom="paragraph">
            <wp:posOffset>4445</wp:posOffset>
          </wp:positionV>
          <wp:extent cx="410210" cy="433070"/>
          <wp:effectExtent l="0" t="0" r="8890" b="11430"/>
          <wp:wrapTight wrapText="bothSides">
            <wp:wrapPolygon>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mc:AlternateContent>
        <mc:Choice Requires="wps">
          <w:drawing>
            <wp:anchor distT="0" distB="0" distL="114300" distR="114300" simplePos="0" relativeHeight="251658240" behindDoc="0" locked="0" layoutInCell="1" allowOverlap="1">
              <wp:simplePos x="0" y="0"/>
              <wp:positionH relativeFrom="column">
                <wp:posOffset>4387850</wp:posOffset>
              </wp:positionH>
              <wp:positionV relativeFrom="paragraph">
                <wp:posOffset>27940</wp:posOffset>
              </wp:positionV>
              <wp:extent cx="1984375" cy="256540"/>
              <wp:effectExtent l="0" t="0" r="9525" b="10160"/>
              <wp:wrapNone/>
              <wp:docPr id="3" name="文本框 1"/>
              <wp:cNvGraphicFramePr/>
              <a:graphic xmlns:a="http://schemas.openxmlformats.org/drawingml/2006/main">
                <a:graphicData uri="http://schemas.microsoft.com/office/word/2010/wordprocessingShape">
                  <wps:wsp>
                    <wps:cNvSpPr txBox="1"/>
                    <wps:spPr>
                      <a:xfrm>
                        <a:off x="0" y="0"/>
                        <a:ext cx="1984375"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wps:txbx>
                    <wps:bodyPr upright="1"/>
                  </wps:wsp>
                </a:graphicData>
              </a:graphic>
            </wp:anchor>
          </w:drawing>
        </mc:Choice>
        <mc:Fallback>
          <w:pict>
            <v:shape id="文本框 1" o:spid="_x0000_s1026" o:spt="202" type="#_x0000_t202" style="position:absolute;left:0pt;margin-left:345.5pt;margin-top:2.2pt;height:20.2pt;width:156.25pt;z-index:251658240;mso-width-relative:page;mso-height-relative:page;" fillcolor="#FFFFFF" filled="t" stroked="f" coordsize="21600,21600" o:gfxdata="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9V+PM1gAAAAkBAAAP&#10;AAAAAAAAAAEAIAAAACIAAABkcnMvZG93bnJldi54bWxQSwECFAAUAAAACACHTuJAtU3kK6gBAAAp&#10;AwAADgAAAAAAAAABACAAAAAlAQAAZHJzL2Uyb0RvYy54bWxQSwUGAAAAAAYABgBZAQAAPw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mc:Fallback>
      </mc:AlternateContent>
    </w:r>
    <w:r>
      <w:rPr>
        <w:rStyle w:val="14"/>
        <w:rFonts w:hint="default"/>
        <w:w w:val="90"/>
      </w:rPr>
      <w:t>Beijing International Standard united Certification Co.,Ltd.</w:t>
    </w:r>
  </w:p>
  <w:p>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1027"/>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27" o:spid="_x0000_s1026" o:spt="32" type="#_x0000_t32" style="position:absolute;left:0pt;margin-left:-0.05pt;margin-top:10.65pt;height:0pt;width:489.8pt;z-index:251659264;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FOG9Y1AAAAAcBAAAPAAAAAAAA&#10;AAEAIAAAACIAAABkcnMvZG93bnJldi54bWxQSwECFAAUAAAACACHTuJAelECYd0BAACYAwAADgAA&#10;AAAAAAABACAAAAAjAQAAZHJzL2Uyb0RvYy54bWxQSwUGAAAAAAYABgBZAQAAcgU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AB185D"/>
    <w:rsid w:val="34512491"/>
    <w:rsid w:val="44585D5D"/>
    <w:rsid w:val="5D70004B"/>
    <w:rsid w:val="5FF10D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叶子</cp:lastModifiedBy>
  <dcterms:modified xsi:type="dcterms:W3CDTF">2020-09-22T14:52:19Z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