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 xml:space="preserve"> 通化市前进石油机械有限公司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0115-2018-2020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115-</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8-</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lang w:val="en-US" w:eastAsia="zh-CN"/>
              </w:rPr>
              <w:t>通化市前进石油机械</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李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w:t>
            </w:r>
            <w:r>
              <w:rPr>
                <w:rFonts w:hint="eastAsia" w:cs="宋体" w:asciiTheme="minorEastAsia" w:hAnsiTheme="minorEastAsia"/>
                <w:kern w:val="0"/>
                <w:szCs w:val="21"/>
                <w:shd w:val="clear" w:color="auto" w:fill="auto"/>
                <w:lang w:val="en-US" w:eastAsia="zh-CN"/>
              </w:rPr>
              <w:t>SC-2018-0308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shd w:val="clear" w:color="auto" w:fill="auto"/>
                <w:lang w:val="en-US" w:eastAsia="zh-CN"/>
              </w:rPr>
              <w:t>2023.10.07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第2次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2020.9.23-24日上午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eastAsia="宋体"/>
                <w:sz w:val="18"/>
                <w:szCs w:val="18"/>
                <w:lang w:val="en-US" w:eastAsia="zh-CN"/>
              </w:rPr>
            </w:pPr>
            <w:r>
              <w:rPr>
                <w:rFonts w:hint="eastAsia" w:eastAsia="宋体"/>
                <w:sz w:val="18"/>
                <w:szCs w:val="18"/>
                <w:lang w:val="en-US" w:eastAsia="zh-CN"/>
              </w:rPr>
              <w:t>管理层/质检部/生产技术部（生产车间）</w:t>
            </w:r>
          </w:p>
          <w:p>
            <w:pPr>
              <w:jc w:val="center"/>
              <w:rPr>
                <w:rFonts w:hint="eastAsia" w:cs="宋体" w:asciiTheme="minorEastAsia" w:hAnsiTheme="minorEastAsia" w:eastAsiaTheme="minorEastAsia"/>
                <w:kern w:val="0"/>
                <w:szCs w:val="21"/>
                <w:lang w:val="en-US" w:eastAsia="zh-CN"/>
              </w:rPr>
            </w:pPr>
            <w:r>
              <w:rPr>
                <w:rFonts w:hint="eastAsia" w:eastAsia="宋体"/>
                <w:sz w:val="18"/>
                <w:szCs w:val="18"/>
                <w:lang w:val="en-US" w:eastAsia="zh-CN"/>
              </w:rPr>
              <w:t>市场部/ 办公室/采</w:t>
            </w:r>
            <w:r>
              <w:rPr>
                <w:rFonts w:hint="eastAsia"/>
                <w:sz w:val="18"/>
                <w:szCs w:val="18"/>
                <w:lang w:val="en-US" w:eastAsia="zh-CN"/>
              </w:rPr>
              <w:t>购部/仓库</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 w:val="24"/>
          <w:szCs w:val="24"/>
          <w:lang w:eastAsia="zh-CN"/>
        </w:rPr>
        <w:t>通化市前进石油机械</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5</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bCs/>
          <w:sz w:val="24"/>
          <w:szCs w:val="24"/>
          <w:lang w:val="en-US" w:eastAsia="zh-CN"/>
        </w:rPr>
        <w:t>；</w:t>
      </w:r>
      <w:r>
        <w:rPr>
          <w:rFonts w:hint="eastAsia" w:ascii="宋体" w:hAnsi="宋体"/>
          <w:bCs/>
          <w:sz w:val="24"/>
          <w:szCs w:val="24"/>
          <w:lang w:eastAsia="zh-CN"/>
        </w:rPr>
        <w:t>通化市前进石油机械</w:t>
      </w:r>
      <w:r>
        <w:rPr>
          <w:rFonts w:hint="eastAsia" w:ascii="宋体" w:hAnsi="宋体"/>
          <w:bCs/>
          <w:sz w:val="24"/>
          <w:szCs w:val="24"/>
          <w:lang w:val="en-US" w:eastAsia="zh-CN"/>
        </w:rPr>
        <w:t>有限公司测量管理体系的符合性、有效性及持续改进，符合GB/T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8</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10</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-11日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5</w:t>
      </w:r>
      <w:r>
        <w:rPr>
          <w:rStyle w:val="10"/>
          <w:rFonts w:hint="eastAsia" w:ascii="宋体" w:eastAsia="宋体"/>
          <w:sz w:val="24"/>
          <w:szCs w:val="24"/>
        </w:rPr>
        <w:t>个职能部门和</w:t>
      </w:r>
      <w:r>
        <w:rPr>
          <w:rStyle w:val="10"/>
          <w:rFonts w:hint="eastAsia" w:ascii="宋体" w:eastAsia="宋体"/>
          <w:sz w:val="24"/>
          <w:szCs w:val="24"/>
          <w:lang w:val="en-US" w:eastAsia="zh-CN"/>
        </w:rPr>
        <w:t>2</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default" w:ascii="宋体" w:hAnsi="宋体" w:cs="黑体" w:eastAsiaTheme="minorEastAsia"/>
          <w:sz w:val="24"/>
          <w:szCs w:val="24"/>
          <w:lang w:val="en-US" w:eastAsia="zh-CN"/>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8</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31</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w:t>
      </w:r>
      <w:r>
        <w:rPr>
          <w:rFonts w:hint="eastAsia" w:ascii="宋体" w:hAnsi="宋体" w:cs="黑体"/>
          <w:sz w:val="24"/>
          <w:szCs w:val="24"/>
          <w:shd w:val="clear" w:color="auto" w:fill="auto"/>
          <w:lang w:val="en-US" w:eastAsia="zh-CN"/>
        </w:rPr>
        <w:t>刘劲松</w:t>
      </w:r>
      <w:r>
        <w:rPr>
          <w:rFonts w:hint="eastAsia" w:ascii="宋体" w:hAnsi="宋体" w:cs="黑体"/>
          <w:sz w:val="24"/>
          <w:szCs w:val="24"/>
        </w:rPr>
        <w:t>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r>
        <w:rPr>
          <w:rFonts w:hint="eastAsia" w:ascii="宋体" w:hAnsi="宋体" w:cs="黑体"/>
          <w:sz w:val="24"/>
          <w:szCs w:val="24"/>
          <w:lang w:val="en-US" w:eastAsia="zh-CN"/>
        </w:rPr>
        <w:t>管理评审结论为：公司测量管理体系基本有效运行，符合GB/T 19022-2003标准要求。</w:t>
      </w:r>
    </w:p>
    <w:p>
      <w:pPr>
        <w:numPr>
          <w:ilvl w:val="0"/>
          <w:numId w:val="0"/>
        </w:numPr>
        <w:snapToGrid w:val="0"/>
        <w:spacing w:line="360" w:lineRule="auto"/>
        <w:ind w:leftChars="0" w:right="-512" w:rightChars="-244"/>
        <w:rPr>
          <w:rFonts w:hint="eastAsia"/>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，包括：</w:t>
      </w:r>
    </w:p>
    <w:p>
      <w:pPr>
        <w:numPr>
          <w:ilvl w:val="0"/>
          <w:numId w:val="0"/>
        </w:numPr>
        <w:snapToGrid w:val="0"/>
        <w:spacing w:line="360" w:lineRule="auto"/>
        <w:ind w:leftChars="0" w:right="-512" w:rightChars="-244"/>
        <w:rPr>
          <w:rFonts w:hint="eastAsia" w:ascii="宋体" w:hAnsi="宋体" w:cs="黑体"/>
          <w:sz w:val="24"/>
          <w:szCs w:val="24"/>
          <w:shd w:val="clear" w:color="auto" w:fill="auto"/>
          <w:lang w:eastAsia="zh-CN"/>
        </w:rPr>
      </w:pPr>
      <w:r>
        <w:rPr>
          <w:rFonts w:hint="eastAsia"/>
          <w:sz w:val="24"/>
          <w:szCs w:val="24"/>
          <w:lang w:val="en-US" w:eastAsia="zh-CN"/>
        </w:rPr>
        <w:t>4.1企业对已识别的闭锁式不加厚油管吊卡表面硬度检测测量过程，按测量过程控制规范，进行了有效性监视。记录、监视控制图齐全，完整；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闭锁式不加厚油管吊卡表面硬度检测</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numPr>
          <w:ilvl w:val="0"/>
          <w:numId w:val="0"/>
        </w:numPr>
        <w:snapToGrid w:val="0"/>
        <w:spacing w:line="360" w:lineRule="auto"/>
        <w:ind w:leftChars="0" w:right="-512" w:rightChars="-244"/>
        <w:rPr>
          <w:rFonts w:hint="eastAsia"/>
          <w:sz w:val="24"/>
          <w:szCs w:val="24"/>
          <w:lang w:val="en-US" w:eastAsia="zh-CN"/>
        </w:rPr>
      </w:pPr>
      <w:r>
        <w:rPr>
          <w:rFonts w:hint="eastAsia" w:ascii="宋体" w:hAnsi="宋体" w:cs="黑体"/>
          <w:sz w:val="24"/>
          <w:szCs w:val="24"/>
          <w:shd w:val="clear" w:color="auto" w:fill="auto"/>
          <w:lang w:val="en-US" w:eastAsia="zh-CN"/>
        </w:rPr>
        <w:t>4.2检查了企业测量设备《计量确认明细表》，对138台件的测量设备进行了计量确认和验证，全部在有效期内，验证结果均为合格。关键测量过程</w:t>
      </w:r>
      <w:r>
        <w:rPr>
          <w:rFonts w:hint="eastAsia"/>
          <w:sz w:val="24"/>
          <w:szCs w:val="24"/>
          <w:lang w:val="en-US" w:eastAsia="zh-CN"/>
        </w:rPr>
        <w:t>闭锁式不加厚油管吊卡表面硬度检测测量过程，计量性能测试，监视记录，监视控制图，均已按测量过程控制规范，进行了有效性监视和记录统计。</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4.3企业未增加新的测量过程，查看了原关键测量闭锁式不加厚油管吊卡表面硬度检测过程，计量要求导出方法基本正确，测量设备的配备满足计量要求，测量设备经过检定校准，测量设备验证方法正确。</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4.4查《闭锁式不加厚油管吊卡表面硬度检测测量过程不确定度评定》，方法和结果正确。</w:t>
      </w:r>
    </w:p>
    <w:p>
      <w:pPr>
        <w:numPr>
          <w:ilvl w:val="0"/>
          <w:numId w:val="0"/>
        </w:numPr>
        <w:snapToGrid w:val="0"/>
        <w:spacing w:line="360" w:lineRule="auto"/>
        <w:ind w:leftChars="0" w:right="-512" w:rightChars="-244"/>
        <w:rPr>
          <w:rFonts w:hint="default" w:eastAsiaTheme="minorEastAsia"/>
          <w:sz w:val="24"/>
          <w:szCs w:val="24"/>
          <w:shd w:val="clear" w:color="auto" w:fill="auto"/>
          <w:lang w:val="en-US" w:eastAsia="zh-CN"/>
        </w:rPr>
      </w:pPr>
      <w:r>
        <w:rPr>
          <w:rFonts w:hint="eastAsia"/>
          <w:sz w:val="24"/>
          <w:szCs w:val="24"/>
          <w:lang w:val="en-US" w:eastAsia="zh-CN"/>
        </w:rPr>
        <w:t>4.5查《闭锁式不加厚油管吊卡表面硬度检测测量过程计量要求导出和计量验证记录表》，信息内容完整，正确。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shd w:val="clear" w:color="auto" w:fill="auto"/>
        </w:rPr>
        <w:t>公司</w:t>
      </w:r>
      <w:r>
        <w:rPr>
          <w:rFonts w:hint="eastAsia" w:asciiTheme="minorEastAsia" w:hAnsiTheme="minorEastAsia"/>
          <w:bCs/>
          <w:sz w:val="24"/>
          <w:szCs w:val="24"/>
          <w:highlight w:val="none"/>
          <w:shd w:val="clear" w:color="auto" w:fill="auto"/>
          <w:lang w:val="en-US" w:eastAsia="zh-CN"/>
        </w:rPr>
        <w:t>2019年监督审</w:t>
      </w:r>
      <w:r>
        <w:rPr>
          <w:rFonts w:hint="eastAsia" w:asciiTheme="minorEastAsia" w:hAnsiTheme="minorEastAsia"/>
          <w:bCs/>
          <w:sz w:val="24"/>
          <w:szCs w:val="24"/>
          <w:shd w:val="clear" w:color="auto" w:fill="auto"/>
          <w:lang w:val="en-US" w:eastAsia="zh-CN"/>
        </w:rPr>
        <w:t>核</w:t>
      </w:r>
      <w:r>
        <w:rPr>
          <w:rFonts w:hint="eastAsia" w:asciiTheme="minorEastAsia" w:hAnsiTheme="minorEastAsia"/>
          <w:bCs/>
          <w:sz w:val="24"/>
          <w:szCs w:val="24"/>
          <w:shd w:val="clear" w:color="auto" w:fill="auto"/>
        </w:rPr>
        <w:t>确定的</w:t>
      </w:r>
      <w:r>
        <w:rPr>
          <w:rFonts w:hint="eastAsia" w:asciiTheme="minorEastAsia" w:hAnsiTheme="minorEastAsia"/>
          <w:bCs/>
          <w:sz w:val="24"/>
          <w:szCs w:val="24"/>
          <w:shd w:val="clear" w:color="auto" w:fill="auto"/>
          <w:lang w:val="en-US" w:eastAsia="zh-CN"/>
        </w:rPr>
        <w:t>1</w:t>
      </w:r>
      <w:r>
        <w:rPr>
          <w:rFonts w:hint="eastAsia" w:asciiTheme="minorEastAsia" w:hAnsiTheme="minorEastAsia"/>
          <w:bCs/>
          <w:sz w:val="24"/>
          <w:szCs w:val="24"/>
          <w:shd w:val="clear" w:color="auto" w:fill="auto"/>
        </w:rPr>
        <w:t>个</w:t>
      </w:r>
      <w:r>
        <w:rPr>
          <w:rFonts w:hint="eastAsia" w:asciiTheme="minorEastAsia" w:hAnsiTheme="minorEastAsia"/>
          <w:bCs/>
          <w:sz w:val="24"/>
          <w:szCs w:val="24"/>
        </w:rPr>
        <w:t>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w:t>
      </w:r>
      <w:r>
        <w:rPr>
          <w:rFonts w:hint="eastAsia" w:asciiTheme="minorEastAsia" w:hAnsiTheme="minorEastAsia"/>
          <w:bCs/>
          <w:sz w:val="24"/>
          <w:szCs w:val="24"/>
          <w:shd w:val="clear" w:color="auto" w:fill="auto"/>
        </w:rPr>
        <w:t>采取了</w:t>
      </w:r>
      <w:r>
        <w:rPr>
          <w:rFonts w:hint="eastAsia" w:ascii="宋体" w:hAnsi="宋体" w:cs="宋体"/>
          <w:kern w:val="0"/>
          <w:sz w:val="24"/>
          <w:szCs w:val="24"/>
          <w:shd w:val="clear" w:color="auto" w:fill="auto"/>
        </w:rPr>
        <w:t>纠正措施</w:t>
      </w:r>
      <w:r>
        <w:rPr>
          <w:rFonts w:hint="eastAsia" w:ascii="宋体" w:hAnsi="宋体" w:cs="宋体"/>
          <w:kern w:val="0"/>
          <w:sz w:val="24"/>
          <w:szCs w:val="24"/>
          <w:shd w:val="clear" w:color="auto" w:fill="auto"/>
          <w:lang w:val="en-US" w:eastAsia="zh-CN"/>
        </w:rPr>
        <w:t>，监督审核时已完成整改</w:t>
      </w:r>
      <w:r>
        <w:rPr>
          <w:rFonts w:hint="eastAsia" w:ascii="宋体" w:cs="宋体"/>
          <w:color w:val="000000" w:themeColor="text1"/>
          <w:kern w:val="0"/>
          <w:sz w:val="24"/>
          <w:szCs w:val="24"/>
          <w:shd w:val="clear" w:color="auto" w:fill="auto"/>
          <w:lang w:val="en-US" w:eastAsia="zh-CN"/>
        </w:rPr>
        <w:t>。</w:t>
      </w:r>
      <w:r>
        <w:rPr>
          <w:rFonts w:hint="eastAsia" w:ascii="宋体" w:hAnsi="宋体"/>
          <w:color w:val="000000" w:themeColor="text1"/>
          <w:sz w:val="24"/>
          <w:szCs w:val="24"/>
          <w:shd w:val="clear" w:color="auto" w:fill="auto"/>
        </w:rPr>
        <w:t>经审核组本次现场审核，通过对纠正措施工作的实施、完成情况跟踪及有效性进行现场查验，确认公司</w:t>
      </w:r>
      <w:r>
        <w:rPr>
          <w:rFonts w:hint="eastAsia" w:asciiTheme="minorEastAsia" w:hAnsiTheme="minorEastAsia"/>
          <w:bCs/>
          <w:sz w:val="24"/>
          <w:szCs w:val="24"/>
          <w:shd w:val="clear" w:color="auto" w:fill="auto"/>
          <w:lang w:val="en-US" w:eastAsia="zh-CN"/>
        </w:rPr>
        <w:t>上年审核</w:t>
      </w:r>
      <w:r>
        <w:rPr>
          <w:rFonts w:hint="eastAsia" w:asciiTheme="minorEastAsia" w:hAnsiTheme="minorEastAsia"/>
          <w:bCs/>
          <w:sz w:val="24"/>
          <w:szCs w:val="24"/>
          <w:shd w:val="clear" w:color="auto" w:fill="auto"/>
        </w:rPr>
        <w:t>确定的</w:t>
      </w:r>
      <w:r>
        <w:rPr>
          <w:rFonts w:hint="eastAsia" w:asciiTheme="minorEastAsia" w:hAnsiTheme="minorEastAsia"/>
          <w:bCs/>
          <w:sz w:val="24"/>
          <w:szCs w:val="24"/>
          <w:shd w:val="clear" w:color="auto" w:fill="auto"/>
          <w:lang w:val="en-US" w:eastAsia="zh-CN"/>
        </w:rPr>
        <w:t>1</w:t>
      </w:r>
      <w:r>
        <w:rPr>
          <w:rFonts w:hint="eastAsia" w:asciiTheme="minorEastAsia" w:hAnsiTheme="minorEastAsia"/>
          <w:bCs/>
          <w:sz w:val="24"/>
          <w:szCs w:val="24"/>
          <w:shd w:val="clear" w:color="auto" w:fill="auto"/>
        </w:rPr>
        <w:t>个不符合项，所</w:t>
      </w:r>
      <w:r>
        <w:rPr>
          <w:rFonts w:hint="eastAsia" w:asciiTheme="minorEastAsia" w:hAnsiTheme="minorEastAsia"/>
          <w:bCs/>
          <w:color w:val="000000" w:themeColor="text1"/>
          <w:sz w:val="24"/>
          <w:szCs w:val="24"/>
          <w:shd w:val="clear" w:color="auto" w:fill="auto"/>
        </w:rPr>
        <w:t>采取的</w:t>
      </w:r>
      <w:r>
        <w:rPr>
          <w:rFonts w:hint="eastAsia" w:ascii="宋体" w:hAnsi="宋体" w:cs="宋体"/>
          <w:color w:val="000000" w:themeColor="text1"/>
          <w:kern w:val="0"/>
          <w:sz w:val="24"/>
          <w:szCs w:val="24"/>
          <w:shd w:val="clear" w:color="auto" w:fill="auto"/>
        </w:rPr>
        <w:t>纠正措施及时、正确，完成情况良好并持续有效</w:t>
      </w:r>
      <w:r>
        <w:rPr>
          <w:rFonts w:hint="eastAsia" w:ascii="宋体" w:cs="宋体"/>
          <w:color w:val="000000" w:themeColor="text1"/>
          <w:kern w:val="0"/>
          <w:sz w:val="24"/>
          <w:szCs w:val="24"/>
          <w:shd w:val="clear" w:color="auto" w:fill="auto"/>
          <w:lang w:val="en-US" w:eastAsia="zh-CN"/>
        </w:rPr>
        <w:t>。同</w:t>
      </w:r>
      <w:r>
        <w:rPr>
          <w:rFonts w:hint="eastAsia" w:ascii="宋体" w:cs="宋体"/>
          <w:color w:val="000000" w:themeColor="text1"/>
          <w:kern w:val="0"/>
          <w:sz w:val="24"/>
          <w:szCs w:val="24"/>
          <w:shd w:val="clear" w:color="auto" w:fill="auto"/>
        </w:rPr>
        <w:t>意关闭</w:t>
      </w:r>
      <w:r>
        <w:rPr>
          <w:rFonts w:hint="eastAsia" w:ascii="宋体" w:cs="宋体"/>
          <w:color w:val="000000" w:themeColor="text1"/>
          <w:kern w:val="0"/>
          <w:sz w:val="24"/>
          <w:szCs w:val="24"/>
          <w:shd w:val="clear" w:color="auto" w:fill="auto"/>
          <w:lang w:val="en-US" w:eastAsia="zh-CN"/>
        </w:rPr>
        <w:t>1</w:t>
      </w:r>
      <w:r>
        <w:rPr>
          <w:rFonts w:hint="eastAsia" w:ascii="宋体" w:cs="宋体"/>
          <w:color w:val="000000" w:themeColor="text1"/>
          <w:kern w:val="0"/>
          <w:sz w:val="24"/>
          <w:szCs w:val="24"/>
          <w:shd w:val="clear" w:color="auto" w:fill="auto"/>
        </w:rPr>
        <w:t>个不符合项。</w:t>
      </w:r>
      <w:r>
        <w:rPr>
          <w:rFonts w:hint="eastAsia" w:asciiTheme="minorEastAsia" w:hAnsiTheme="minorEastAsia"/>
          <w:bCs/>
          <w:sz w:val="24"/>
          <w:szCs w:val="24"/>
          <w:lang w:val="en-US" w:eastAsia="zh-CN"/>
        </w:rPr>
        <w:t>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6</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基本覆盖标准要素。201</w:t>
      </w:r>
      <w:r>
        <w:rPr>
          <w:rFonts w:hint="eastAsia" w:ascii="宋体" w:hAnsi="宋体"/>
          <w:bCs/>
          <w:sz w:val="24"/>
          <w:szCs w:val="24"/>
          <w:lang w:val="en-US" w:eastAsia="zh-CN"/>
        </w:rPr>
        <w:t>9</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spacing w:line="36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  企业经营范围因增项发生变化于2019年11月25日换营业执照，测量管理体系认证范围无变化，符合要求。</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snapToGrid w:val="0"/>
        <w:spacing w:line="360" w:lineRule="auto"/>
        <w:ind w:right="-512" w:rightChars="-244" w:firstLine="240" w:firstLineChars="100"/>
        <w:rPr>
          <w:rFonts w:hint="eastAsia" w:ascii="宋体" w:hAnsi="宋体"/>
          <w:sz w:val="24"/>
          <w:szCs w:val="24"/>
          <w:highlight w:val="none"/>
        </w:rPr>
      </w:pPr>
      <w:r>
        <w:rPr>
          <w:rFonts w:hint="eastAsia" w:ascii="宋体" w:hAnsi="宋体"/>
          <w:sz w:val="24"/>
          <w:szCs w:val="24"/>
          <w:highlight w:val="none"/>
        </w:rPr>
        <w:t xml:space="preserve">本次审核出具一般不符合项 </w:t>
      </w:r>
      <w:r>
        <w:rPr>
          <w:rFonts w:hint="eastAsia" w:ascii="宋体" w:hAnsi="宋体"/>
          <w:sz w:val="24"/>
          <w:szCs w:val="24"/>
          <w:highlight w:val="none"/>
          <w:lang w:val="en-US" w:eastAsia="zh-CN"/>
        </w:rPr>
        <w:t>1项</w:t>
      </w:r>
      <w:r>
        <w:rPr>
          <w:rFonts w:hint="eastAsia" w:ascii="宋体" w:hAnsi="宋体"/>
          <w:sz w:val="24"/>
          <w:szCs w:val="24"/>
          <w:highlight w:val="none"/>
        </w:rPr>
        <w:t>，未发现严重或系统性的不符合情况</w:t>
      </w:r>
    </w:p>
    <w:p>
      <w:pPr>
        <w:snapToGrid w:val="0"/>
        <w:spacing w:line="360" w:lineRule="auto"/>
        <w:ind w:right="-512" w:rightChars="-244" w:firstLine="240" w:firstLineChars="100"/>
        <w:rPr>
          <w:rFonts w:hint="default" w:ascii="宋体" w:hAnsi="宋体"/>
          <w:sz w:val="24"/>
          <w:szCs w:val="24"/>
          <w:highlight w:val="none"/>
          <w:lang w:val="en-US" w:eastAsia="zh-CN"/>
        </w:rPr>
      </w:pPr>
      <w:r>
        <w:rPr>
          <w:rFonts w:hint="eastAsia" w:ascii="宋体" w:hAnsi="宋体"/>
          <w:sz w:val="24"/>
          <w:szCs w:val="24"/>
          <w:highlight w:val="none"/>
          <w:lang w:val="en-US" w:eastAsia="zh-CN"/>
        </w:rPr>
        <w:t>在实验室没有对检测环境进行监控的记录，------应监视和记录影响测量的环境条件------</w:t>
      </w:r>
    </w:p>
    <w:p>
      <w:pPr>
        <w:snapToGrid w:val="0"/>
        <w:spacing w:line="360" w:lineRule="auto"/>
        <w:ind w:right="-512" w:rightChars="-244" w:firstLine="240" w:firstLineChars="100"/>
        <w:rPr>
          <w:rFonts w:hint="eastAsia" w:ascii="宋体" w:hAnsi="宋体"/>
          <w:sz w:val="24"/>
          <w:szCs w:val="24"/>
          <w:highlight w:val="none"/>
          <w:lang w:val="en-US" w:eastAsia="zh-CN"/>
        </w:rPr>
      </w:pPr>
      <w:r>
        <w:rPr>
          <w:rFonts w:hint="eastAsia" w:ascii="宋体" w:hAnsi="宋体"/>
          <w:sz w:val="24"/>
          <w:szCs w:val="24"/>
          <w:highlight w:val="none"/>
          <w:lang w:val="en-US" w:eastAsia="zh-CN"/>
        </w:rPr>
        <w:t>不符合_GB/T19022-2003标准6.3.2环境条款，不符合要求。</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center"/>
        <w:rPr>
          <w:rFonts w:hint="eastAsia" w:ascii="宋体" w:hAnsi="宋体"/>
          <w:sz w:val="24"/>
          <w:szCs w:val="24"/>
          <w:lang w:eastAsia="zh-CN"/>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9</w:t>
      </w:r>
      <w:r>
        <w:rPr>
          <w:rStyle w:val="11"/>
          <w:rFonts w:ascii="宋体" w:hAnsi="宋体" w:eastAsia="宋体"/>
          <w:sz w:val="24"/>
          <w:szCs w:val="24"/>
        </w:rPr>
        <w:t>月</w:t>
      </w:r>
      <w:r>
        <w:rPr>
          <w:rStyle w:val="11"/>
          <w:rFonts w:hint="eastAsia" w:ascii="宋体" w:hAnsi="宋体" w:eastAsia="宋体"/>
          <w:sz w:val="24"/>
          <w:szCs w:val="24"/>
          <w:lang w:val="en-US" w:eastAsia="zh-CN"/>
        </w:rPr>
        <w:t>23</w:t>
      </w:r>
      <w:r>
        <w:rPr>
          <w:rStyle w:val="11"/>
          <w:rFonts w:ascii="宋体" w:hAnsi="宋体" w:eastAsia="宋体"/>
          <w:sz w:val="24"/>
          <w:szCs w:val="24"/>
        </w:rPr>
        <w:t>日</w:t>
      </w:r>
      <w:r>
        <w:rPr>
          <w:rStyle w:val="11"/>
          <w:rFonts w:hint="eastAsia" w:ascii="宋体" w:hAnsi="宋体" w:eastAsia="宋体"/>
          <w:sz w:val="24"/>
          <w:szCs w:val="24"/>
          <w:lang w:val="en-US" w:eastAsia="zh-CN"/>
        </w:rPr>
        <w:t>至9月24日上午</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lang w:eastAsia="zh-CN"/>
        </w:rPr>
        <w:t>通化市前进石油机械</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第2次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p>
    <w:p>
      <w:pPr>
        <w:spacing w:line="360" w:lineRule="auto"/>
        <w:ind w:firstLine="480"/>
        <w:jc w:val="center"/>
        <w:rPr>
          <w:rFonts w:hint="eastAsia" w:ascii="宋体" w:hAnsi="宋体"/>
          <w:sz w:val="24"/>
          <w:szCs w:val="24"/>
          <w:shd w:val="clear" w:color="auto" w:fill="auto"/>
        </w:rPr>
      </w:pPr>
      <w:r>
        <w:rPr>
          <w:rFonts w:hint="eastAsia" w:ascii="宋体" w:hAnsi="宋体"/>
          <w:sz w:val="24"/>
          <w:szCs w:val="24"/>
        </w:rPr>
        <w:t>用能单位的能源计量器具准确度等级</w:t>
      </w:r>
      <w:r>
        <w:rPr>
          <w:rFonts w:hint="eastAsia" w:ascii="宋体" w:hAnsi="宋体"/>
          <w:sz w:val="24"/>
          <w:szCs w:val="24"/>
          <w:lang w:val="en-US" w:eastAsia="zh-CN"/>
        </w:rPr>
        <w:t xml:space="preserve"> ，</w:t>
      </w:r>
      <w:r>
        <w:rPr>
          <w:rFonts w:hint="eastAsia" w:ascii="宋体" w:hAnsi="宋体"/>
          <w:sz w:val="24"/>
          <w:szCs w:val="24"/>
        </w:rPr>
        <w:t>用能单位的能源计量器具准确度等级：2.0级的三相四线电能表1块和2</w:t>
      </w:r>
      <w:r>
        <w:rPr>
          <w:rFonts w:hint="eastAsia" w:ascii="宋体" w:hAnsi="宋体"/>
          <w:sz w:val="24"/>
          <w:szCs w:val="24"/>
          <w:lang w:val="en-US" w:eastAsia="zh-CN"/>
        </w:rPr>
        <w:t>.5</w:t>
      </w:r>
      <w:r>
        <w:rPr>
          <w:rFonts w:hint="eastAsia" w:ascii="宋体" w:hAnsi="宋体"/>
          <w:sz w:val="24"/>
          <w:szCs w:val="24"/>
        </w:rPr>
        <w:t xml:space="preserve">级的水表1块，满足GB17167标准4.3.8表4的要求 </w:t>
      </w:r>
      <w:r>
        <w:rPr>
          <w:rFonts w:hint="eastAsia" w:ascii="宋体" w:hAnsi="宋体"/>
          <w:sz w:val="24"/>
          <w:szCs w:val="24"/>
          <w:lang w:val="en-US" w:eastAsia="zh-CN"/>
        </w:rPr>
        <w:t xml:space="preserve"> </w:t>
      </w:r>
      <w:r>
        <w:rPr>
          <w:rFonts w:hint="eastAsia" w:ascii="宋体" w:hAnsi="宋体"/>
          <w:sz w:val="24"/>
          <w:szCs w:val="24"/>
        </w:rPr>
        <w:t>企业能源计量器具共有2台，已编入了测量设备管理目录，能源计量器具配备率符合GB17167－2006的要求。能源数据每月抄表，能源报表数据可追溯到现场测试记录，满</w:t>
      </w:r>
      <w:r>
        <w:rPr>
          <w:rFonts w:hint="eastAsia" w:ascii="宋体" w:hAnsi="宋体"/>
          <w:sz w:val="24"/>
          <w:szCs w:val="24"/>
          <w:shd w:val="clear" w:color="auto" w:fill="auto"/>
        </w:rPr>
        <w:t>足要求。</w:t>
      </w:r>
    </w:p>
    <w:p>
      <w:pPr>
        <w:spacing w:line="360" w:lineRule="auto"/>
        <w:ind w:firstLine="480"/>
        <w:jc w:val="center"/>
        <w:rPr>
          <w:rFonts w:ascii="宋体" w:hAnsi="宋体" w:eastAsia="宋体" w:cs="Times New Roman"/>
          <w:sz w:val="24"/>
          <w:szCs w:val="24"/>
          <w:highlight w:val="none"/>
        </w:rPr>
      </w:pPr>
      <w:r>
        <w:rPr>
          <w:rFonts w:hint="eastAsia" w:ascii="宋体" w:hAnsi="宋体"/>
          <w:sz w:val="24"/>
          <w:szCs w:val="24"/>
          <w:shd w:val="clear" w:color="auto" w:fill="auto"/>
        </w:rPr>
        <w:t>综上所述，</w:t>
      </w:r>
      <w:r>
        <w:rPr>
          <w:rFonts w:hint="eastAsia" w:ascii="宋体" w:hAnsi="宋体"/>
          <w:sz w:val="24"/>
          <w:szCs w:val="24"/>
        </w:rPr>
        <w:t>审核组</w:t>
      </w:r>
      <w:r>
        <w:rPr>
          <w:rStyle w:val="11"/>
          <w:rFonts w:hint="eastAsia" w:ascii="宋体" w:hAnsi="宋体" w:eastAsia="宋体"/>
          <w:sz w:val="24"/>
          <w:szCs w:val="24"/>
        </w:rPr>
        <w:t>认为</w:t>
      </w:r>
      <w:r>
        <w:rPr>
          <w:rStyle w:val="11"/>
          <w:rFonts w:hint="eastAsia" w:ascii="宋体" w:hAnsi="宋体" w:eastAsia="宋体"/>
          <w:sz w:val="24"/>
          <w:szCs w:val="24"/>
          <w:lang w:eastAsia="zh-CN"/>
        </w:rPr>
        <w:t>通化市前进石油机械</w:t>
      </w:r>
      <w:r>
        <w:rPr>
          <w:rStyle w:val="11"/>
          <w:rFonts w:hint="eastAsia" w:ascii="宋体" w:hAnsi="宋体" w:eastAsia="宋体"/>
          <w:sz w:val="24"/>
          <w:szCs w:val="24"/>
        </w:rPr>
        <w:t>有限公司</w:t>
      </w:r>
      <w:r>
        <w:rPr>
          <w:rFonts w:hint="eastAsia" w:ascii="宋体" w:hAnsi="宋体"/>
          <w:sz w:val="24"/>
          <w:szCs w:val="24"/>
        </w:rPr>
        <w:t>测量管理体系，符合GB/T 19022-2003标准要求，对体系运行具有持续的有效性、符合性予以肯定。</w:t>
      </w:r>
      <w:bookmarkStart w:id="1" w:name="_GoBack"/>
      <w:bookmarkEnd w:id="1"/>
      <w:r>
        <w:rPr>
          <w:rFonts w:hint="eastAsia" w:ascii="宋体" w:hAnsi="宋体"/>
          <w:sz w:val="24"/>
          <w:szCs w:val="24"/>
        </w:rPr>
        <w:t>建议报请国标联合认证有限公司批准通过监督审核。</w:t>
      </w: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8C5939"/>
    <w:rsid w:val="108335C0"/>
    <w:rsid w:val="138501A6"/>
    <w:rsid w:val="14575BEE"/>
    <w:rsid w:val="14EA6CB3"/>
    <w:rsid w:val="17A323A1"/>
    <w:rsid w:val="1B5D6A13"/>
    <w:rsid w:val="1D5E1F47"/>
    <w:rsid w:val="1D9A2E7B"/>
    <w:rsid w:val="1DD97BCA"/>
    <w:rsid w:val="1E2774C7"/>
    <w:rsid w:val="23881FD2"/>
    <w:rsid w:val="23C621D3"/>
    <w:rsid w:val="246E16E9"/>
    <w:rsid w:val="267B10B4"/>
    <w:rsid w:val="27554591"/>
    <w:rsid w:val="28826509"/>
    <w:rsid w:val="2A55179D"/>
    <w:rsid w:val="2ACA50D6"/>
    <w:rsid w:val="308C462A"/>
    <w:rsid w:val="31DB01B3"/>
    <w:rsid w:val="321D6989"/>
    <w:rsid w:val="365A3F08"/>
    <w:rsid w:val="36C43AD4"/>
    <w:rsid w:val="37774C67"/>
    <w:rsid w:val="3BB67694"/>
    <w:rsid w:val="3C9F7C5C"/>
    <w:rsid w:val="3EBB7FAC"/>
    <w:rsid w:val="3EC25B56"/>
    <w:rsid w:val="4024179D"/>
    <w:rsid w:val="41300BAF"/>
    <w:rsid w:val="49C14E74"/>
    <w:rsid w:val="4A8A2F7C"/>
    <w:rsid w:val="4B005FF0"/>
    <w:rsid w:val="4F757019"/>
    <w:rsid w:val="4FF60B62"/>
    <w:rsid w:val="51C16409"/>
    <w:rsid w:val="547533AA"/>
    <w:rsid w:val="55C92FC9"/>
    <w:rsid w:val="56896C6B"/>
    <w:rsid w:val="58082CF0"/>
    <w:rsid w:val="582F0E3C"/>
    <w:rsid w:val="5896057E"/>
    <w:rsid w:val="5BA410AD"/>
    <w:rsid w:val="5C2C0776"/>
    <w:rsid w:val="5F1C7C1A"/>
    <w:rsid w:val="5FB81639"/>
    <w:rsid w:val="5FCA3BA5"/>
    <w:rsid w:val="601C447D"/>
    <w:rsid w:val="61854963"/>
    <w:rsid w:val="61A667FC"/>
    <w:rsid w:val="61D14A92"/>
    <w:rsid w:val="6425758F"/>
    <w:rsid w:val="64305ADC"/>
    <w:rsid w:val="67D506DB"/>
    <w:rsid w:val="693568F0"/>
    <w:rsid w:val="707F0D4F"/>
    <w:rsid w:val="74832446"/>
    <w:rsid w:val="74BF4AAE"/>
    <w:rsid w:val="7AAE132C"/>
    <w:rsid w:val="7BAC1EE6"/>
    <w:rsid w:val="7FDB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17</TotalTime>
  <ScaleCrop>false</ScaleCrop>
  <LinksUpToDate>false</LinksUpToDate>
  <CharactersWithSpaces>748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2020-09-24T01:33:54Z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