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石家庄市晟邦家具有限公司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钢木家具：饰面人造板→下料→排孔→封边→（+钢制件）→组装→成品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木制家具：开料→封边→排孔→底漆→打磨→面漆→自然风干→组装→成品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生产任务未按时完成，设备故障，工人操作不当，控制措施：生产和服务控制程序、设备操作规程、作业指导书；特殊过程为封边、喷涂，是否从人员、设备、工艺等方面进行了确认。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、GB/T 3324-2017《木家具通用技术条件》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 3324-2017《木家具通用技术条件》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吉洁 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2020.9.19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吉洁  </w:t>
      </w:r>
      <w:r>
        <w:rPr>
          <w:rFonts w:hint="eastAsia" w:ascii="宋体" w:hAnsi="Times New Roman" w:cs="Times New Roman"/>
          <w:b/>
          <w:sz w:val="22"/>
          <w:szCs w:val="22"/>
        </w:rPr>
        <w:t>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2020.9.19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095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2020-09-22T07:30:05Z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