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0" w:name="组织名称"/>
      <w:r>
        <w:rPr>
          <w:rFonts w:hint="eastAsia" w:ascii="楷体" w:hAnsi="楷体" w:eastAsia="楷体"/>
          <w:b/>
          <w:color w:val="000000"/>
          <w:sz w:val="32"/>
          <w:szCs w:val="32"/>
        </w:rPr>
        <w:t>海南黎母沉香产业发展有限公司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line="480" w:lineRule="auto"/>
        <w:ind w:left="850"/>
        <w:rPr>
          <w:rFonts w:eastAsia="楷体_GB2312"/>
          <w:sz w:val="32"/>
        </w:rPr>
      </w:pPr>
    </w:p>
    <w:p>
      <w:pPr>
        <w:snapToGrid w:val="0"/>
        <w:spacing w:line="480" w:lineRule="auto"/>
        <w:ind w:left="850"/>
        <w:rPr>
          <w:rFonts w:eastAsia="楷体_GB2312"/>
          <w:sz w:val="32"/>
        </w:rPr>
      </w:pPr>
    </w:p>
    <w:p>
      <w:pPr>
        <w:snapToGrid w:val="0"/>
        <w:spacing w:line="480" w:lineRule="auto"/>
        <w:ind w:left="850"/>
        <w:rPr>
          <w:rFonts w:eastAsia="楷体_GB2312"/>
          <w:sz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李京田</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2018-N1QMS-3014142</w:t>
            </w:r>
          </w:p>
          <w:p>
            <w:pPr>
              <w:jc w:val="center"/>
              <w:rPr>
                <w:b/>
                <w:sz w:val="21"/>
                <w:szCs w:val="21"/>
              </w:rPr>
            </w:pPr>
            <w:r>
              <w:rPr>
                <w:b/>
                <w:sz w:val="21"/>
                <w:szCs w:val="21"/>
              </w:rPr>
              <w:t>2020-N1EMS-3014142</w:t>
            </w:r>
          </w:p>
          <w:p>
            <w:pPr>
              <w:jc w:val="center"/>
              <w:rPr>
                <w:b/>
                <w:sz w:val="21"/>
                <w:szCs w:val="21"/>
              </w:rPr>
            </w:pPr>
            <w:r>
              <w:rPr>
                <w:b/>
                <w:sz w:val="21"/>
                <w:szCs w:val="21"/>
              </w:rPr>
              <w:t>2020-N1OHSMS-3014142</w:t>
            </w:r>
          </w:p>
        </w:tc>
        <w:tc>
          <w:tcPr>
            <w:tcW w:w="1728" w:type="dxa"/>
            <w:gridSpan w:val="2"/>
            <w:vAlign w:val="center"/>
          </w:tcPr>
          <w:p>
            <w:pPr>
              <w:jc w:val="center"/>
              <w:rPr>
                <w:b/>
                <w:sz w:val="21"/>
                <w:szCs w:val="21"/>
              </w:rPr>
            </w:pPr>
            <w:r>
              <w:rPr>
                <w:b/>
                <w:sz w:val="21"/>
                <w:szCs w:val="21"/>
              </w:rPr>
              <w:t>Q:29.12.00</w:t>
            </w:r>
          </w:p>
          <w:p>
            <w:pPr>
              <w:jc w:val="center"/>
              <w:rPr>
                <w:b/>
                <w:sz w:val="21"/>
                <w:szCs w:val="21"/>
              </w:rPr>
            </w:pPr>
            <w:r>
              <w:rPr>
                <w:b/>
                <w:sz w:val="21"/>
                <w:szCs w:val="21"/>
              </w:rPr>
              <w:t>E:29.12.00</w:t>
            </w:r>
          </w:p>
          <w:p>
            <w:pPr>
              <w:jc w:val="center"/>
              <w:rPr>
                <w:b/>
                <w:sz w:val="21"/>
                <w:szCs w:val="21"/>
              </w:rPr>
            </w:pPr>
            <w:r>
              <w:rPr>
                <w:b/>
                <w:sz w:val="21"/>
                <w:szCs w:val="21"/>
              </w:rPr>
              <w:t>O:29.12.00</w:t>
            </w:r>
          </w:p>
        </w:tc>
        <w:tc>
          <w:tcPr>
            <w:tcW w:w="1729" w:type="dxa"/>
            <w:gridSpan w:val="2"/>
            <w:vAlign w:val="center"/>
          </w:tcPr>
          <w:p>
            <w:pPr>
              <w:jc w:val="center"/>
              <w:rPr>
                <w:b/>
                <w:sz w:val="21"/>
                <w:szCs w:val="21"/>
              </w:rPr>
            </w:pPr>
            <w:r>
              <w:rPr>
                <w:b/>
                <w:sz w:val="21"/>
                <w:szCs w:val="21"/>
              </w:rPr>
              <w:t>ISC-14142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idt ISO 9001:2015标准不适用条款: </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0" w:name="组织名称Add"/>
            <w:r>
              <w:rPr>
                <w:rFonts w:ascii="宋体"/>
                <w:b/>
                <w:color w:val="FF0000"/>
                <w:sz w:val="21"/>
              </w:rPr>
              <w:t>海南黎母沉香产业发展有限公司</w:t>
            </w:r>
            <w:bookmarkEnd w:id="10"/>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12人，人员没有变化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1" w:name="注册地址"/>
            <w:r>
              <w:rPr>
                <w:rFonts w:ascii="宋体"/>
                <w:b/>
                <w:sz w:val="21"/>
              </w:rPr>
              <w:t>海南省琼中县加钗中学A栋</w:t>
            </w:r>
            <w:bookmarkEnd w:id="11"/>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2" w:name="注册邮编"/>
            <w:r>
              <w:rPr>
                <w:rFonts w:ascii="宋体"/>
                <w:b/>
                <w:sz w:val="21"/>
              </w:rPr>
              <w:t>572900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3" w:name="办公地址"/>
            <w:r>
              <w:rPr>
                <w:rFonts w:ascii="宋体"/>
                <w:b/>
                <w:sz w:val="21"/>
              </w:rPr>
              <w:t>海南省琼中县加钗中学A栋</w:t>
            </w:r>
            <w:bookmarkEnd w:id="13"/>
          </w:p>
        </w:tc>
        <w:tc>
          <w:tcPr>
            <w:tcW w:w="1672" w:type="dxa"/>
            <w:vMerge w:val="continue"/>
            <w:vAlign w:val="center"/>
          </w:tcPr>
          <w:p>
            <w:pPr>
              <w:jc w:val="center"/>
              <w:rPr>
                <w:rFonts w:ascii="宋体"/>
                <w:b/>
                <w:sz w:val="21"/>
              </w:rPr>
            </w:pPr>
          </w:p>
        </w:tc>
        <w:tc>
          <w:tcPr>
            <w:tcW w:w="1500" w:type="dxa"/>
          </w:tcPr>
          <w:p>
            <w:pPr>
              <w:rPr>
                <w:rFonts w:ascii="宋体"/>
                <w:b/>
                <w:sz w:val="21"/>
              </w:rPr>
            </w:pPr>
            <w:bookmarkStart w:id="14" w:name="办公邮编"/>
            <w:r>
              <w:rPr>
                <w:rFonts w:ascii="宋体"/>
                <w:b/>
                <w:sz w:val="21"/>
              </w:rPr>
              <w:t>572900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5" w:name="生产地址Add"/>
            <w:r>
              <w:rPr>
                <w:rFonts w:ascii="宋体"/>
                <w:b/>
                <w:sz w:val="21"/>
              </w:rPr>
              <w:t>海南省琼中县加钗中学A栋</w:t>
            </w:r>
            <w:bookmarkEnd w:id="15"/>
          </w:p>
        </w:tc>
        <w:tc>
          <w:tcPr>
            <w:tcW w:w="1672" w:type="dxa"/>
            <w:vMerge w:val="continue"/>
            <w:vAlign w:val="center"/>
          </w:tcPr>
          <w:p>
            <w:pPr>
              <w:jc w:val="center"/>
              <w:rPr>
                <w:rFonts w:ascii="宋体"/>
                <w:b/>
                <w:sz w:val="21"/>
              </w:rPr>
            </w:pPr>
          </w:p>
        </w:tc>
        <w:tc>
          <w:tcPr>
            <w:tcW w:w="1500" w:type="dxa"/>
          </w:tcPr>
          <w:p>
            <w:pPr>
              <w:rPr>
                <w:rFonts w:ascii="宋体"/>
                <w:b/>
                <w:sz w:val="21"/>
              </w:rPr>
            </w:pPr>
            <w:bookmarkStart w:id="16" w:name="生产邮编"/>
            <w:r>
              <w:rPr>
                <w:rFonts w:ascii="宋体"/>
                <w:b/>
                <w:sz w:val="21"/>
              </w:rPr>
              <w:t>572900</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7" w:name="联系人"/>
            <w:r>
              <w:rPr>
                <w:rFonts w:ascii="宋体"/>
                <w:b/>
                <w:sz w:val="21"/>
              </w:rPr>
              <w:t>李德林</w:t>
            </w:r>
            <w:bookmarkEnd w:id="17"/>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8" w:name="联系人电话Add"/>
            <w:r>
              <w:rPr>
                <w:rFonts w:ascii="宋体"/>
                <w:b/>
                <w:sz w:val="21"/>
              </w:rPr>
              <w:t>0898--86260175</w:t>
            </w:r>
            <w:bookmarkEnd w:id="18"/>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9" w:name="联系人传真"/>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0" w:name="法人"/>
            <w:r>
              <w:rPr>
                <w:rFonts w:ascii="宋体" w:hAnsi="宋体"/>
                <w:b/>
                <w:sz w:val="21"/>
                <w:szCs w:val="21"/>
              </w:rPr>
              <w:t>苗丽荣</w:t>
            </w:r>
            <w:bookmarkEnd w:id="20"/>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r>
              <w:rPr>
                <w:rFonts w:hint="eastAsia"/>
              </w:rPr>
              <w:t>苗丽荣</w:t>
            </w: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1" w:name="管理者代表"/>
            <w:r>
              <w:rPr>
                <w:rFonts w:ascii="宋体"/>
                <w:b/>
                <w:sz w:val="21"/>
              </w:rPr>
              <w:t>王宁</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2" w:name="审核日期"/>
            <w:r>
              <w:rPr>
                <w:rFonts w:ascii="宋体" w:hAnsi="宋体"/>
                <w:b/>
                <w:sz w:val="21"/>
                <w:szCs w:val="21"/>
              </w:rPr>
              <w:t>2020年09月16日 上午至2020年09月18日 下午</w:t>
            </w:r>
            <w:bookmarkEnd w:id="22"/>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0" w:lineRule="atLeast"/>
              <w:jc w:val="left"/>
              <w:rPr>
                <w:rFonts w:hint="eastAsia" w:ascii="宋体" w:hAnsi="宋体"/>
              </w:rPr>
            </w:pPr>
            <w:bookmarkStart w:id="23" w:name="审核范围"/>
            <w:r>
              <w:rPr>
                <w:rFonts w:hint="eastAsia" w:ascii="宋体" w:hAnsi="宋体"/>
              </w:rPr>
              <w:t>Q：沉香制品(沉香丝)销售</w:t>
            </w:r>
          </w:p>
          <w:p>
            <w:pPr>
              <w:spacing w:line="0" w:lineRule="atLeast"/>
              <w:jc w:val="left"/>
              <w:rPr>
                <w:rFonts w:hint="eastAsia" w:ascii="宋体" w:hAnsi="宋体"/>
              </w:rPr>
            </w:pPr>
            <w:r>
              <w:rPr>
                <w:rFonts w:hint="eastAsia" w:ascii="宋体" w:hAnsi="宋体"/>
              </w:rPr>
              <w:t>E：沉香制品(沉香丝)的销售及其所涉及的环境管理活动</w:t>
            </w:r>
          </w:p>
          <w:p>
            <w:pPr>
              <w:spacing w:line="360" w:lineRule="exact"/>
              <w:rPr>
                <w:rFonts w:ascii="宋体" w:hAnsi="宋体"/>
                <w:b/>
                <w:sz w:val="21"/>
                <w:szCs w:val="21"/>
              </w:rPr>
            </w:pPr>
            <w:r>
              <w:rPr>
                <w:rFonts w:hint="eastAsia" w:ascii="宋体" w:hAnsi="宋体"/>
              </w:rPr>
              <w:t>O：沉香制品(沉香丝)的销售及其所涉及的职业健康安全管理活动</w:t>
            </w:r>
            <w:bookmarkEnd w:id="23"/>
            <w:r>
              <w:rPr>
                <w:rFonts w:hint="eastAsia"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4" w:name="专业代码"/>
            <w:r>
              <w:rPr>
                <w:rFonts w:ascii="宋体" w:hAnsi="宋体"/>
                <w:b/>
                <w:sz w:val="21"/>
                <w:szCs w:val="21"/>
              </w:rPr>
              <w:t>Q：29.12.00</w:t>
            </w:r>
          </w:p>
          <w:p>
            <w:pPr>
              <w:spacing w:line="260" w:lineRule="exact"/>
              <w:rPr>
                <w:rFonts w:ascii="宋体" w:hAnsi="宋体"/>
                <w:b/>
                <w:sz w:val="21"/>
                <w:szCs w:val="21"/>
              </w:rPr>
            </w:pPr>
            <w:r>
              <w:rPr>
                <w:rFonts w:ascii="宋体" w:hAnsi="宋体"/>
                <w:b/>
                <w:sz w:val="21"/>
                <w:szCs w:val="21"/>
              </w:rPr>
              <w:t>E：29.12.00</w:t>
            </w:r>
          </w:p>
          <w:p>
            <w:pPr>
              <w:spacing w:line="260" w:lineRule="exact"/>
              <w:rPr>
                <w:rFonts w:ascii="宋体" w:hAnsi="宋体"/>
                <w:b/>
                <w:sz w:val="21"/>
                <w:szCs w:val="21"/>
              </w:rPr>
            </w:pPr>
            <w:r>
              <w:rPr>
                <w:rFonts w:ascii="宋体" w:hAnsi="宋体"/>
                <w:b/>
                <w:sz w:val="21"/>
                <w:szCs w:val="21"/>
              </w:rPr>
              <w:t>O：29.12.00</w:t>
            </w:r>
            <w:bookmarkEnd w:id="24"/>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rPr>
                <w:rFonts w:hint="eastAsia" w:ascii="宋体" w:hAnsi="宋体"/>
                <w:b/>
                <w:sz w:val="21"/>
                <w:szCs w:val="21"/>
                <w:lang w:val="en-US" w:eastAsia="zh-CN"/>
              </w:rPr>
            </w:pPr>
          </w:p>
          <w:p>
            <w:pPr>
              <w:rPr>
                <w:rFonts w:hint="default" w:ascii="宋体" w:hAnsi="宋体"/>
                <w:b/>
                <w:sz w:val="21"/>
                <w:szCs w:val="21"/>
                <w:lang w:val="en-US" w:eastAsia="zh-CN"/>
              </w:rPr>
            </w:pPr>
            <w:r>
              <w:rPr>
                <w:rFonts w:hint="eastAsia" w:ascii="宋体" w:hAnsi="宋体"/>
                <w:b/>
                <w:sz w:val="21"/>
                <w:szCs w:val="21"/>
                <w:lang w:val="en-US" w:eastAsia="zh-CN"/>
              </w:rPr>
              <w:t>2022-11-14</w:t>
            </w:r>
          </w:p>
        </w:tc>
        <w:tc>
          <w:tcPr>
            <w:tcW w:w="1672" w:type="dxa"/>
            <w:vAlign w:val="center"/>
          </w:tcPr>
          <w:p>
            <w:pPr>
              <w:rPr>
                <w:rFonts w:ascii="宋体" w:hAnsi="宋体"/>
                <w:b/>
                <w:sz w:val="21"/>
                <w:szCs w:val="21"/>
              </w:rPr>
            </w:pPr>
            <w:r>
              <w:rPr>
                <w:rFonts w:hint="eastAsia" w:ascii="宋体" w:hAnsi="宋体"/>
                <w:b/>
                <w:sz w:val="21"/>
                <w:szCs w:val="21"/>
              </w:rPr>
              <w:t>上年度</w:t>
            </w:r>
          </w:p>
          <w:p>
            <w:pPr>
              <w:rPr>
                <w:rFonts w:ascii="宋体" w:hAnsi="宋体"/>
                <w:b/>
                <w:sz w:val="21"/>
                <w:szCs w:val="21"/>
              </w:rPr>
            </w:pPr>
            <w:r>
              <w:rPr>
                <w:rFonts w:hint="eastAsia" w:ascii="宋体" w:hAnsi="宋体"/>
                <w:b/>
                <w:sz w:val="21"/>
                <w:szCs w:val="21"/>
              </w:rPr>
              <w:t>审核日期</w:t>
            </w:r>
          </w:p>
        </w:tc>
        <w:tc>
          <w:tcPr>
            <w:tcW w:w="1500" w:type="dxa"/>
          </w:tcPr>
          <w:p>
            <w:pPr>
              <w:rPr>
                <w:rFonts w:ascii="宋体" w:hAnsi="宋体"/>
                <w:b/>
                <w:sz w:val="21"/>
                <w:szCs w:val="21"/>
              </w:rPr>
            </w:pPr>
            <w:r>
              <w:rPr>
                <w:rFonts w:ascii="宋体" w:hAnsi="宋体"/>
                <w:b/>
                <w:sz w:val="21"/>
                <w:szCs w:val="21"/>
              </w:rPr>
              <w:t>2019-11-06 -- 2019-11-10</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2019</w:t>
      </w:r>
      <w:r>
        <w:rPr>
          <w:rFonts w:hint="eastAsia" w:ascii="宋体" w:hAnsi="宋体"/>
          <w:b/>
          <w:sz w:val="21"/>
          <w:szCs w:val="21"/>
        </w:rPr>
        <w:t>年</w:t>
      </w:r>
      <w:r>
        <w:rPr>
          <w:rFonts w:hint="eastAsia" w:ascii="宋体" w:hAnsi="宋体"/>
          <w:b/>
          <w:sz w:val="21"/>
          <w:szCs w:val="21"/>
          <w:lang w:val="en-US" w:eastAsia="zh-CN"/>
        </w:rPr>
        <w:t>11</w:t>
      </w:r>
      <w:r>
        <w:rPr>
          <w:rFonts w:hint="eastAsia" w:ascii="宋体" w:hAnsi="宋体"/>
          <w:b/>
          <w:sz w:val="21"/>
          <w:szCs w:val="21"/>
        </w:rPr>
        <w:t>月</w:t>
      </w:r>
      <w:r>
        <w:rPr>
          <w:rFonts w:hint="eastAsia" w:ascii="宋体" w:hAnsi="宋体"/>
          <w:b/>
          <w:sz w:val="21"/>
          <w:szCs w:val="21"/>
          <w:lang w:val="en-US" w:eastAsia="zh-CN"/>
        </w:rPr>
        <w:t>10</w:t>
      </w:r>
      <w:r>
        <w:rPr>
          <w:rFonts w:hint="eastAsia" w:ascii="宋体" w:hAnsi="宋体"/>
          <w:b/>
          <w:sz w:val="21"/>
          <w:szCs w:val="21"/>
        </w:rPr>
        <w:t>日至</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9</w:t>
      </w:r>
      <w:r>
        <w:rPr>
          <w:rFonts w:hint="eastAsia" w:ascii="宋体" w:hAnsi="宋体"/>
          <w:b/>
          <w:sz w:val="21"/>
          <w:szCs w:val="21"/>
        </w:rPr>
        <w:t>月</w:t>
      </w:r>
      <w:r>
        <w:rPr>
          <w:rFonts w:hint="eastAsia" w:ascii="宋体" w:hAnsi="宋体"/>
          <w:b/>
          <w:sz w:val="21"/>
          <w:szCs w:val="21"/>
          <w:lang w:val="en-US" w:eastAsia="zh-CN"/>
        </w:rPr>
        <w:t>18</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rPr>
                <w:rFonts w:hint="eastAsia" w:ascii="Times New Roman" w:hAnsi="Times New Roman" w:cs="Times New Roman"/>
                <w:szCs w:val="22"/>
              </w:rPr>
            </w:pPr>
            <w:r>
              <w:rPr>
                <w:rFonts w:hint="eastAsia" w:ascii="Times New Roman" w:hAnsi="Times New Roman" w:cs="Times New Roman"/>
                <w:szCs w:val="22"/>
              </w:rPr>
              <w:t>公司通过对自身服务、规模、能力、财务、市场、管理等现状及行业趋势的分析：确定了影响公司的内外部环境因素，这些因素包括了需要考虑的正面和负面因素或条件。并对已识别的内、外部环境因素的信息进行连续监视和定期评审，判断其影响程度及变化趋势，制定并实施发展战略，确保公司长期稳定的发展。</w:t>
            </w:r>
          </w:p>
          <w:p>
            <w:pPr>
              <w:rPr>
                <w:rFonts w:hint="eastAsia" w:ascii="Times New Roman" w:hAnsi="Times New Roman" w:cs="Times New Roman"/>
                <w:szCs w:val="22"/>
              </w:rPr>
            </w:pPr>
            <w:r>
              <w:rPr>
                <w:rFonts w:hint="eastAsia" w:ascii="Times New Roman" w:hAnsi="Times New Roman" w:cs="Times New Roman"/>
                <w:szCs w:val="22"/>
              </w:rPr>
              <w:t>周边环境：气候、空气和水质量、土地使用、现存污染、资源的可获得性等相关因素公司推行质量、环境、职业健康安全管理体系的目的就是不断提高公司管理水平和市场准入。总经理确定与本公司管理目标和战略方向相关并影响实现管理体系预期结果的各种内部因素（公司的价值观、文化、知识、绩效等相关因素）及公司发展愿景和外部因素（国际、国家、地区和当地的各种法律法规、技术、竞争、文化和社会因素等）。这些因素包括了需要考虑的正面和负面因素或条件。</w:t>
            </w:r>
          </w:p>
          <w:p>
            <w:pPr>
              <w:rPr>
                <w:rFonts w:hint="eastAsia" w:ascii="Times New Roman" w:hAnsi="Times New Roman" w:cs="Times New Roman"/>
                <w:szCs w:val="22"/>
              </w:rPr>
            </w:pPr>
            <w:r>
              <w:rPr>
                <w:rFonts w:hint="eastAsia" w:ascii="Times New Roman" w:hAnsi="Times New Roman" w:cs="Times New Roman"/>
                <w:szCs w:val="22"/>
              </w:rPr>
              <w:t>公司每年办公室根据由公司办公、销售服务等人员从市场、客户、网络等搜集到的信息并结合公司自身业务运作情况进行分析，通过分析对这些内部和外部因素的相关信息进行监视和评审以确保其充分和适宜。</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numPr>
                <w:ilvl w:val="0"/>
                <w:numId w:val="1"/>
              </w:numPr>
              <w:rPr>
                <w:rFonts w:hint="eastAsia"/>
                <w:b/>
                <w:color w:val="000000" w:themeColor="text1"/>
                <w:sz w:val="20"/>
                <w:szCs w:val="20"/>
              </w:rPr>
            </w:pPr>
            <w:r>
              <w:rPr>
                <w:rFonts w:hint="eastAsia"/>
                <w:b/>
                <w:color w:val="000000" w:themeColor="text1"/>
                <w:sz w:val="20"/>
                <w:szCs w:val="20"/>
              </w:rPr>
              <w:t>相关方需求和期望识别情况</w:t>
            </w:r>
          </w:p>
          <w:p>
            <w:pPr>
              <w:numPr>
                <w:ilvl w:val="0"/>
                <w:numId w:val="0"/>
              </w:numPr>
              <w:rPr>
                <w:rFonts w:hint="eastAsia"/>
              </w:rPr>
            </w:pPr>
            <w:r>
              <w:rPr>
                <w:rFonts w:hint="eastAsia"/>
              </w:rPr>
              <w:t>在公司运营过程中充分考虑相关方方面的期望或要求，识别的相关方有：顾客、最终用户或受益人、业主，股东、员工等。销售部门和相关职能部门通过日常例会、市场活动、现场拜访、产品展销会、客户调查等多种渠道和方式方法随时了解相关方的需求和期望。做为公司经营风险分析和发展机遇的可利用资源。</w:t>
            </w:r>
          </w:p>
          <w:p>
            <w:pPr>
              <w:numPr>
                <w:ilvl w:val="0"/>
                <w:numId w:val="0"/>
              </w:numPr>
              <w:spacing w:line="240" w:lineRule="exact"/>
              <w:rPr>
                <w:rFonts w:hint="eastAsia"/>
              </w:rPr>
            </w:pPr>
            <w:r>
              <w:rPr>
                <w:rFonts w:hint="eastAsia"/>
              </w:rPr>
              <w:t>内外部环境要素识别与评估：在每年的管理评审前，由相关部门负责人进行识别并评估其适宜性。以便于持续满足相关方的需求和期望。</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lang w:eastAsia="zh-CN"/>
              </w:rPr>
              <w:t>☑</w:t>
            </w:r>
            <w:r>
              <w:rPr>
                <w:rFonts w:hint="eastAsia" w:ascii="宋体" w:hAnsi="宋体"/>
                <w:b/>
                <w:color w:val="000000" w:themeColor="text1"/>
                <w:sz w:val="20"/>
                <w:szCs w:val="20"/>
              </w:rPr>
              <w:t>质量/</w:t>
            </w:r>
            <w:r>
              <w:rPr>
                <w:rFonts w:hint="eastAsia"/>
                <w:b/>
                <w:color w:val="000000" w:themeColor="text1"/>
                <w:spacing w:val="-10"/>
                <w:sz w:val="20"/>
                <w:szCs w:val="20"/>
                <w:lang w:eastAsia="zh-CN"/>
              </w:rPr>
              <w:t>☑</w:t>
            </w:r>
            <w:r>
              <w:rPr>
                <w:rFonts w:hint="eastAsia" w:ascii="宋体" w:hAnsi="宋体"/>
                <w:b/>
                <w:color w:val="000000" w:themeColor="text1"/>
                <w:sz w:val="20"/>
                <w:szCs w:val="20"/>
              </w:rPr>
              <w:t>环境/</w:t>
            </w:r>
            <w:r>
              <w:rPr>
                <w:rFonts w:hint="eastAsia"/>
                <w:b/>
                <w:color w:val="000000" w:themeColor="text1"/>
                <w:spacing w:val="-10"/>
                <w:sz w:val="20"/>
                <w:szCs w:val="20"/>
                <w:lang w:eastAsia="zh-CN"/>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rPr>
                <w:rFonts w:hint="eastAsia" w:ascii="Times New Roman" w:hAnsi="Times New Roman" w:cs="Times New Roman"/>
                <w:szCs w:val="22"/>
              </w:rPr>
            </w:pPr>
            <w:r>
              <w:rPr>
                <w:rFonts w:hint="eastAsia" w:ascii="Times New Roman" w:hAnsi="Times New Roman" w:cs="Times New Roman"/>
                <w:szCs w:val="22"/>
              </w:rPr>
              <w:t>经充分考虑本组织特点，公司的</w:t>
            </w:r>
            <w:r>
              <w:rPr>
                <w:rFonts w:hint="eastAsia" w:ascii="Times New Roman" w:hAnsi="Times New Roman" w:cs="Times New Roman"/>
                <w:szCs w:val="22"/>
                <w:lang w:eastAsia="zh-CN"/>
              </w:rPr>
              <w:t>管理</w:t>
            </w:r>
            <w:r>
              <w:rPr>
                <w:rFonts w:hint="eastAsia" w:ascii="Times New Roman" w:hAnsi="Times New Roman" w:cs="Times New Roman"/>
                <w:szCs w:val="22"/>
              </w:rPr>
              <w:t>方针是：</w:t>
            </w:r>
          </w:p>
          <w:p>
            <w:pPr>
              <w:rPr>
                <w:rFonts w:hint="eastAsia"/>
              </w:rPr>
            </w:pPr>
            <w:r>
              <w:rPr>
                <w:rFonts w:hint="eastAsia"/>
              </w:rPr>
              <w:t>追求进步；竭诚服务，完善管理，满足顾客需求；</w:t>
            </w:r>
          </w:p>
          <w:p>
            <w:pPr>
              <w:rPr>
                <w:rFonts w:hint="eastAsia"/>
              </w:rPr>
            </w:pPr>
            <w:r>
              <w:rPr>
                <w:rFonts w:hint="eastAsia"/>
              </w:rPr>
              <w:t>节能降耗，提高全员意识；遵纪守法，持续发展，强化风险控制。</w:t>
            </w:r>
          </w:p>
          <w:p>
            <w:pPr>
              <w:rPr>
                <w:rFonts w:hint="eastAsia" w:asciiTheme="minorEastAsia" w:hAnsiTheme="minorEastAsia" w:eastAsiaTheme="minorEastAsia" w:cstheme="minorEastAsia"/>
                <w:b w:val="0"/>
                <w:bCs w:val="0"/>
                <w:color w:val="auto"/>
                <w:spacing w:val="0"/>
                <w:kern w:val="2"/>
                <w:sz w:val="21"/>
                <w:szCs w:val="21"/>
                <w:lang w:val="en-US" w:eastAsia="zh-CN" w:bidi="ar-SA"/>
              </w:rPr>
            </w:pPr>
            <w:r>
              <w:rPr>
                <w:rFonts w:hint="eastAsia" w:ascii="Times New Roman" w:hAnsi="Times New Roman" w:cs="Times New Roman"/>
                <w:szCs w:val="22"/>
                <w:lang w:val="en-US" w:eastAsia="zh-CN"/>
              </w:rPr>
              <w:t>通过管理手册的分发使全体员工理解方针，通过内审和管理评审保持方针的适宜性</w:t>
            </w:r>
            <w:r>
              <w:rPr>
                <w:rFonts w:hint="eastAsia" w:asciiTheme="minorEastAsia" w:hAnsiTheme="minorEastAsia" w:eastAsiaTheme="minorEastAsia" w:cstheme="minorEastAsia"/>
                <w:b w:val="0"/>
                <w:bCs w:val="0"/>
                <w:color w:val="auto"/>
                <w:spacing w:val="0"/>
                <w:kern w:val="2"/>
                <w:sz w:val="21"/>
                <w:szCs w:val="21"/>
                <w:lang w:val="en-US" w:eastAsia="zh-CN" w:bidi="ar-SA"/>
              </w:rPr>
              <w:t>。</w:t>
            </w:r>
          </w:p>
          <w:p>
            <w:pPr>
              <w:spacing w:line="240" w:lineRule="exact"/>
              <w:ind w:left="228" w:leftChars="95"/>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pStyle w:val="2"/>
              <w:numPr>
                <w:ilvl w:val="0"/>
                <w:numId w:val="1"/>
              </w:numPr>
              <w:ind w:left="0" w:leftChars="0" w:firstLine="0" w:firstLineChars="0"/>
              <w:rPr>
                <w:rFonts w:hint="eastAsia" w:ascii="宋体" w:hAnsi="宋体"/>
                <w:b/>
                <w:sz w:val="21"/>
                <w:szCs w:val="21"/>
              </w:rPr>
            </w:pPr>
            <w:r>
              <w:rPr>
                <w:rFonts w:hint="eastAsia" w:ascii="宋体" w:hAnsi="宋体"/>
                <w:b/>
                <w:sz w:val="21"/>
                <w:szCs w:val="21"/>
              </w:rPr>
              <w:t>风险识别与控制策划</w:t>
            </w:r>
          </w:p>
          <w:p>
            <w:pPr>
              <w:pStyle w:val="2"/>
              <w:numPr>
                <w:ilvl w:val="0"/>
                <w:numId w:val="0"/>
              </w:numPr>
              <w:ind w:leftChars="0"/>
              <w:rPr>
                <w:rFonts w:hint="eastAsia" w:asciiTheme="minorEastAsia" w:hAnsiTheme="minorEastAsia" w:eastAsiaTheme="minorEastAsia" w:cstheme="minorEastAsia"/>
                <w:b w:val="0"/>
                <w:bCs w:val="0"/>
                <w:color w:val="auto"/>
                <w:spacing w:val="0"/>
                <w:kern w:val="2"/>
                <w:sz w:val="21"/>
                <w:szCs w:val="21"/>
                <w:lang w:val="en-US" w:eastAsia="zh-CN" w:bidi="ar-SA"/>
              </w:rPr>
            </w:pPr>
            <w:r>
              <w:rPr>
                <w:rFonts w:hint="eastAsia" w:asciiTheme="minorEastAsia" w:hAnsiTheme="minorEastAsia" w:eastAsiaTheme="minorEastAsia" w:cstheme="minorEastAsia"/>
                <w:b w:val="0"/>
                <w:bCs w:val="0"/>
                <w:color w:val="auto"/>
                <w:spacing w:val="0"/>
                <w:kern w:val="2"/>
                <w:sz w:val="21"/>
                <w:szCs w:val="21"/>
                <w:lang w:val="en-US" w:eastAsia="zh-CN" w:bidi="ar-SA"/>
              </w:rPr>
              <w:t>制定了《风险和机遇的应对控制程序》，明确风险和机遇事件的识别方法/途径、风险和机遇事件的评估方式、制定主要风险和机遇事件的应对措施的要求、评价这些措施有效性的方法。</w:t>
            </w:r>
          </w:p>
          <w:p>
            <w:pPr>
              <w:pStyle w:val="2"/>
              <w:rPr>
                <w:rFonts w:hint="eastAsia" w:asciiTheme="minorEastAsia" w:hAnsiTheme="minorEastAsia" w:eastAsiaTheme="minorEastAsia" w:cstheme="minorEastAsia"/>
                <w:b w:val="0"/>
                <w:bCs w:val="0"/>
                <w:color w:val="auto"/>
                <w:spacing w:val="0"/>
                <w:kern w:val="2"/>
                <w:sz w:val="21"/>
                <w:szCs w:val="21"/>
                <w:lang w:val="en-US" w:eastAsia="zh-CN" w:bidi="ar-SA"/>
              </w:rPr>
            </w:pPr>
            <w:r>
              <w:rPr>
                <w:rFonts w:hint="eastAsia" w:asciiTheme="minorEastAsia" w:hAnsiTheme="minorEastAsia" w:eastAsiaTheme="minorEastAsia" w:cstheme="minorEastAsia"/>
                <w:b w:val="0"/>
                <w:bCs w:val="0"/>
                <w:color w:val="auto"/>
                <w:spacing w:val="0"/>
                <w:kern w:val="2"/>
                <w:sz w:val="21"/>
                <w:szCs w:val="21"/>
                <w:lang w:val="en-US" w:eastAsia="zh-CN" w:bidi="ar-SA"/>
              </w:rPr>
              <w:t>提供了“2020年度 SWOT经营环境分析及对策报告”，对影响公司经营和发展的各种因素（内外部环境、相关方要求等）进行分析，确定需要应对的风险和机遇</w:t>
            </w:r>
          </w:p>
          <w:p>
            <w:pPr>
              <w:spacing w:line="28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tabs>
                <w:tab w:val="left" w:pos="540"/>
              </w:tabs>
              <w:spacing w:line="300" w:lineRule="exact"/>
              <w:ind w:left="201" w:hanging="201" w:hangingChars="100"/>
              <w:rPr>
                <w:rFonts w:ascii="宋体" w:hAnsi="宋体"/>
                <w:b/>
                <w:color w:val="000000" w:themeColor="text1"/>
                <w:sz w:val="20"/>
                <w:szCs w:val="20"/>
              </w:rPr>
            </w:pPr>
            <w:r>
              <w:rPr>
                <w:rFonts w:hint="eastAsia" w:ascii="宋体" w:hAnsi="宋体"/>
                <w:b/>
                <w:color w:val="000000" w:themeColor="text1"/>
                <w:sz w:val="20"/>
                <w:szCs w:val="20"/>
              </w:rPr>
              <w:t>质量管理体系过程有：</w:t>
            </w:r>
          </w:p>
          <w:p>
            <w:pPr>
              <w:ind w:firstLine="240" w:firstLineChars="100"/>
              <w:rPr>
                <w:rFonts w:hint="eastAsia" w:ascii="Times New Roman" w:hAnsi="Times New Roman" w:eastAsia="宋体" w:cs="Times New Roman"/>
              </w:rPr>
            </w:pPr>
            <w:r>
              <w:rPr>
                <w:rFonts w:hint="eastAsia"/>
              </w:rPr>
              <w:t>质量管理体系过程有：</w:t>
            </w:r>
            <w:r>
              <w:rPr>
                <w:rFonts w:hint="eastAsia" w:ascii="Times New Roman" w:hAnsi="Times New Roman" w:eastAsia="宋体" w:cs="Times New Roman"/>
              </w:rPr>
              <w:t>客户沟通----合同评审----签订合同-----采购-----客户提货-----验收交付</w:t>
            </w:r>
            <w:r>
              <w:rPr>
                <w:rFonts w:hint="eastAsia" w:ascii="Times New Roman" w:hAnsi="Times New Roman" w:eastAsia="宋体" w:cs="Times New Roman"/>
                <w:lang w:val="en-US" w:eastAsia="zh-CN"/>
              </w:rPr>
              <w:t xml:space="preserve"> </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销售服务过程      </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需要确认过程  销售服务过程</w:t>
            </w:r>
          </w:p>
          <w:p>
            <w:pPr>
              <w:rPr>
                <w:rFonts w:hint="eastAsia"/>
              </w:rPr>
            </w:pPr>
            <w:r>
              <w:rPr>
                <w:rFonts w:hint="eastAsia" w:ascii="宋体" w:hAnsi="宋体"/>
                <w:b/>
                <w:color w:val="000000" w:themeColor="text1"/>
                <w:sz w:val="20"/>
                <w:szCs w:val="20"/>
              </w:rPr>
              <w:t xml:space="preserve">不适用条款是   8.3     ，不适用理由：  </w:t>
            </w:r>
            <w:r>
              <w:rPr>
                <w:rFonts w:hint="eastAsia" w:ascii="宋体" w:hAnsi="宋体"/>
                <w:sz w:val="21"/>
                <w:szCs w:val="21"/>
                <w:lang w:val="en-US" w:eastAsia="zh-CN"/>
              </w:rPr>
              <w:t>因该公司的</w:t>
            </w:r>
            <w:r>
              <w:rPr>
                <w:rFonts w:hint="eastAsia" w:ascii="宋体" w:hAnsi="宋体"/>
              </w:rPr>
              <w:t>沉香制品(沉香丝)销售</w:t>
            </w:r>
            <w:r>
              <w:rPr>
                <w:rFonts w:hint="eastAsia" w:ascii="宋体" w:hAnsi="宋体"/>
                <w:szCs w:val="21"/>
                <w:lang w:eastAsia="zh-CN"/>
              </w:rPr>
              <w:t>，</w:t>
            </w:r>
            <w:r>
              <w:rPr>
                <w:rFonts w:hint="eastAsia" w:ascii="宋体" w:hAnsi="宋体"/>
                <w:szCs w:val="21"/>
                <w:lang w:val="en-US" w:eastAsia="zh-CN"/>
              </w:rPr>
              <w:t>按照顾客的要求进行，该条款的不适用,</w:t>
            </w:r>
            <w:r>
              <w:rPr>
                <w:rFonts w:hint="eastAsia"/>
              </w:rPr>
              <w:t>不影响组织确保其产品和服务合格的能力和责任，也不会对增强顾客满意产生影响。</w:t>
            </w:r>
          </w:p>
          <w:p>
            <w:pPr>
              <w:tabs>
                <w:tab w:val="left" w:pos="540"/>
              </w:tabs>
              <w:spacing w:line="300" w:lineRule="exact"/>
              <w:ind w:left="211" w:hanging="211" w:hangingChars="100"/>
              <w:rPr>
                <w:rFonts w:ascii="宋体" w:hAnsi="宋体"/>
                <w:b/>
                <w:sz w:val="21"/>
                <w:szCs w:val="21"/>
              </w:rPr>
            </w:pPr>
          </w:p>
          <w:p>
            <w:pPr>
              <w:tabs>
                <w:tab w:val="left" w:pos="540"/>
              </w:tabs>
              <w:spacing w:line="300" w:lineRule="exact"/>
              <w:ind w:left="211" w:hanging="211" w:hangingChars="10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394" w:lineRule="exact"/>
              <w:ind w:firstLine="480" w:firstLineChars="200"/>
              <w:rPr>
                <w:szCs w:val="21"/>
              </w:rPr>
            </w:pPr>
            <w:r>
              <w:rPr>
                <w:rFonts w:hint="eastAsia"/>
                <w:szCs w:val="21"/>
              </w:rPr>
              <w:t>编制了</w:t>
            </w:r>
            <w:r>
              <w:rPr>
                <w:szCs w:val="21"/>
              </w:rPr>
              <w:t>《环境因素的识别与评价控制程序》</w:t>
            </w:r>
            <w:r>
              <w:rPr>
                <w:rFonts w:hint="eastAsia"/>
                <w:szCs w:val="21"/>
              </w:rPr>
              <w:t>符合标准要求.</w:t>
            </w:r>
          </w:p>
          <w:p>
            <w:pPr>
              <w:ind w:firstLine="480" w:firstLineChars="200"/>
            </w:pPr>
            <w:r>
              <w:rPr>
                <w:rFonts w:hint="eastAsia"/>
                <w:szCs w:val="21"/>
              </w:rPr>
              <w:t>提供的“环境因素识别评价表”“重要环境因素清单”， 评价考虑了三种时态现在、过去、将来、三种状态、异常、正常、紧急考虑了法律法规，并进行了评价，针对</w:t>
            </w:r>
            <w:r>
              <w:rPr>
                <w:rFonts w:hint="eastAsia" w:ascii="宋体" w:hAnsi="宋体" w:cs="宋体"/>
                <w:kern w:val="0"/>
                <w:szCs w:val="21"/>
              </w:rPr>
              <w:t>服装机械设备及零配件的销售</w:t>
            </w:r>
            <w:r>
              <w:rPr>
                <w:rFonts w:hint="eastAsia"/>
                <w:szCs w:val="21"/>
              </w:rPr>
              <w:t>过程，用打分法考虑了法规符合性、发生频次、影响范围等, 通过定性判断法，共识别出重大环境因素</w:t>
            </w:r>
            <w:r>
              <w:rPr>
                <w:szCs w:val="21"/>
              </w:rPr>
              <w:t>2</w:t>
            </w:r>
            <w:r>
              <w:rPr>
                <w:rFonts w:hint="eastAsia"/>
                <w:szCs w:val="21"/>
              </w:rPr>
              <w:t>项：固废排放、火灾，评价符合程序要求及公司的实际情况。</w:t>
            </w:r>
          </w:p>
          <w:p>
            <w:pPr>
              <w:spacing w:line="240" w:lineRule="exact"/>
              <w:rPr>
                <w:rFonts w:ascii="宋体" w:hAnsi="宋体"/>
                <w:b/>
                <w:sz w:val="21"/>
                <w:szCs w:val="21"/>
              </w:rPr>
            </w:pPr>
            <w:r>
              <w:rPr>
                <w:rFonts w:hint="eastAsia"/>
                <w:szCs w:val="21"/>
              </w:rPr>
              <w:t>根据组织经营性质，识别了各部门和场所的环境因素，并对环境因素进行了评价，评价出了重要环境因素，识别基本齐全无遗漏；评价合理。基本了解评价动态变更的及时性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ind w:firstLine="422" w:firstLineChars="200"/>
              <w:rPr>
                <w:szCs w:val="21"/>
              </w:rPr>
            </w:pPr>
            <w:r>
              <w:rPr>
                <w:rFonts w:hint="eastAsia" w:ascii="宋体" w:hAnsi="宋体"/>
                <w:b/>
                <w:sz w:val="21"/>
                <w:szCs w:val="21"/>
              </w:rPr>
              <w:t>（职业健康安全危险源辨识是否充分、风险评价合理性，以及风险评价动态变更的及时性等）</w:t>
            </w:r>
            <w:r>
              <w:rPr>
                <w:rFonts w:hint="eastAsia"/>
                <w:szCs w:val="21"/>
              </w:rPr>
              <w:t>编制《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80" w:firstLineChars="200"/>
              <w:rPr>
                <w:szCs w:val="21"/>
              </w:rPr>
            </w:pPr>
            <w:r>
              <w:rPr>
                <w:rFonts w:hint="eastAsia"/>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rFonts w:hint="eastAsia"/>
                <w:szCs w:val="21"/>
                <w:lang w:val="en-US" w:eastAsia="zh-CN"/>
              </w:rPr>
              <w:t>3</w:t>
            </w:r>
            <w:r>
              <w:rPr>
                <w:rFonts w:hint="eastAsia"/>
                <w:szCs w:val="21"/>
              </w:rPr>
              <w:t>项，涉及：火灾</w:t>
            </w:r>
            <w:r>
              <w:rPr>
                <w:rFonts w:hint="eastAsia"/>
                <w:szCs w:val="21"/>
                <w:lang w:eastAsia="zh-CN"/>
              </w:rPr>
              <w:t>、</w:t>
            </w:r>
            <w:r>
              <w:rPr>
                <w:rFonts w:hint="eastAsia"/>
                <w:szCs w:val="21"/>
              </w:rPr>
              <w:t>触电</w:t>
            </w:r>
            <w:r>
              <w:rPr>
                <w:rFonts w:hint="eastAsia"/>
                <w:szCs w:val="21"/>
                <w:lang w:eastAsia="zh-CN"/>
              </w:rPr>
              <w:t>、</w:t>
            </w:r>
            <w:r>
              <w:rPr>
                <w:rFonts w:hint="eastAsia"/>
                <w:szCs w:val="21"/>
                <w:lang w:val="en-US" w:eastAsia="zh-CN"/>
              </w:rPr>
              <w:t>意外伤害</w:t>
            </w:r>
            <w:r>
              <w:rPr>
                <w:rFonts w:hint="eastAsia"/>
                <w:szCs w:val="21"/>
              </w:rPr>
              <w:t>，评价符合程序要求及公司的实际情况。对危险源的控制措施包括制定管理制度、监督检查、应急预案、培训等。</w:t>
            </w:r>
          </w:p>
          <w:p>
            <w:pPr>
              <w:spacing w:line="240" w:lineRule="exact"/>
              <w:rPr>
                <w:rFonts w:ascii="宋体" w:hAnsi="宋体"/>
                <w:b/>
                <w:sz w:val="21"/>
                <w:szCs w:val="21"/>
              </w:rPr>
            </w:pPr>
            <w:r>
              <w:rPr>
                <w:rFonts w:hint="eastAsia"/>
                <w:bCs w:val="0"/>
                <w:spacing w:val="0"/>
                <w:szCs w:val="21"/>
              </w:rPr>
              <w:t>根据组织经营性质，识别了各部门和场所的危险源，并对危险源进行了评价，评价出不可接受风险，识别基本齐全无遗漏；评价合理。基本了解评价动态变更的及时性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3"/>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获取法律法规46项，■法律法规获取充分，□法律法规获取有遗漏，缺少</w:t>
            </w:r>
          </w:p>
          <w:p>
            <w:pPr>
              <w:tabs>
                <w:tab w:val="left" w:pos="540"/>
              </w:tabs>
              <w:spacing w:line="300" w:lineRule="exact"/>
              <w:ind w:left="1" w:leftChars="-43" w:hanging="104" w:hangingChars="43"/>
              <w:rPr>
                <w:rFonts w:ascii="宋体" w:hAnsi="宋体"/>
                <w:b/>
                <w:color w:val="000000" w:themeColor="text1"/>
                <w:szCs w:val="21"/>
                <w:u w:val="single"/>
              </w:rPr>
            </w:pPr>
          </w:p>
          <w:p>
            <w:pPr>
              <w:pStyle w:val="13"/>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5"/>
              <w:numPr>
                <w:ilvl w:val="0"/>
                <w:numId w:val="2"/>
              </w:numPr>
              <w:tabs>
                <w:tab w:val="left" w:pos="540"/>
              </w:tabs>
              <w:spacing w:line="300" w:lineRule="exact"/>
              <w:ind w:firstLineChars="0"/>
              <w:rPr>
                <w:rFonts w:ascii="宋体" w:hAnsi="宋体"/>
                <w:szCs w:val="21"/>
              </w:rPr>
            </w:pPr>
            <w:r>
              <w:rPr>
                <w:rFonts w:hint="eastAsia" w:ascii="宋体" w:hAnsi="宋体"/>
                <w:b/>
                <w:color w:val="000000" w:themeColor="text1"/>
                <w:szCs w:val="21"/>
              </w:rPr>
              <w:t>法律法规的宣传方式：</w:t>
            </w:r>
            <w:r>
              <w:rPr>
                <w:rFonts w:hint="eastAsia" w:ascii="宋体" w:hAnsi="宋体"/>
                <w:szCs w:val="21"/>
              </w:rPr>
              <w:t>进行发放纸质文件、电子文件的形式</w:t>
            </w:r>
          </w:p>
          <w:p>
            <w:pPr>
              <w:pStyle w:val="15"/>
              <w:numPr>
                <w:ilvl w:val="0"/>
                <w:numId w:val="2"/>
              </w:numPr>
              <w:tabs>
                <w:tab w:val="left" w:pos="540"/>
              </w:tabs>
              <w:spacing w:line="300" w:lineRule="exact"/>
              <w:ind w:firstLineChars="0"/>
              <w:rPr>
                <w:rFonts w:ascii="宋体" w:hAnsi="宋体"/>
                <w:b/>
                <w:szCs w:val="21"/>
              </w:rPr>
            </w:pPr>
            <w:r>
              <w:rPr>
                <w:rFonts w:hint="eastAsia" w:ascii="宋体" w:hAnsi="宋体"/>
                <w:b/>
                <w:color w:val="000000" w:themeColor="text1"/>
                <w:szCs w:val="21"/>
              </w:rPr>
              <w:t>法律法规要求及时更新了</w:t>
            </w:r>
            <w:r>
              <w:rPr>
                <w:rFonts w:hint="eastAsia" w:ascii="宋体" w:hAnsi="宋体"/>
                <w:szCs w:val="21"/>
              </w:rPr>
              <w:t>每年一次</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pStyle w:val="2"/>
            </w:pPr>
          </w:p>
          <w:p>
            <w:pPr>
              <w:spacing w:line="240" w:lineRule="exact"/>
              <w:rPr>
                <w:rFonts w:ascii="宋体" w:hAnsi="宋体"/>
                <w:b/>
                <w:sz w:val="21"/>
                <w:szCs w:val="21"/>
              </w:rPr>
            </w:pPr>
            <w:r>
              <w:rPr>
                <w:rFonts w:hint="eastAsia"/>
                <w:bCs/>
                <w:szCs w:val="21"/>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rPr>
                <w:rFonts w:hint="eastAsia"/>
                <w:bCs/>
                <w:szCs w:val="21"/>
              </w:rPr>
            </w:pPr>
          </w:p>
          <w:p>
            <w:pPr>
              <w:tabs>
                <w:tab w:val="left" w:pos="540"/>
              </w:tabs>
              <w:spacing w:line="240" w:lineRule="exact"/>
              <w:rPr>
                <w:rFonts w:ascii="宋体" w:hAnsi="宋体"/>
                <w:b/>
                <w:sz w:val="21"/>
                <w:szCs w:val="21"/>
              </w:rPr>
            </w:pPr>
            <w:r>
              <w:rPr>
                <w:rFonts w:hint="eastAsia"/>
                <w:bCs/>
                <w:szCs w:val="21"/>
              </w:rPr>
              <w:t>文件符合标准要求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00" w:lineRule="exact"/>
              <w:rPr>
                <w:rFonts w:ascii="宋体" w:hAnsi="宋体"/>
                <w:b/>
                <w:sz w:val="21"/>
                <w:szCs w:val="21"/>
              </w:rPr>
            </w:pPr>
            <w:r>
              <w:rPr>
                <w:rFonts w:hint="eastAsia"/>
                <w:bCs/>
                <w:szCs w:val="21"/>
              </w:rPr>
              <w:t>该公司员工共</w:t>
            </w:r>
            <w:r>
              <w:rPr>
                <w:rFonts w:hint="eastAsia"/>
                <w:bCs/>
                <w:szCs w:val="21"/>
                <w:lang w:val="en-US" w:eastAsia="zh-CN"/>
              </w:rPr>
              <w:t>12</w:t>
            </w:r>
            <w:r>
              <w:rPr>
                <w:rFonts w:hint="eastAsia"/>
                <w:bCs/>
                <w:szCs w:val="21"/>
              </w:rPr>
              <w:t>人，管理人2人。有专业的销售人员，能满足</w:t>
            </w:r>
            <w:r>
              <w:rPr>
                <w:rFonts w:hint="eastAsia" w:ascii="宋体" w:hAnsi="宋体"/>
              </w:rPr>
              <w:t>沉香制品(沉香丝)销售</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300" w:lineRule="exact"/>
              <w:rPr>
                <w:bCs/>
                <w:szCs w:val="21"/>
              </w:rPr>
            </w:pPr>
            <w:r>
              <w:rPr>
                <w:rFonts w:hint="eastAsia"/>
                <w:bCs/>
                <w:szCs w:val="21"/>
              </w:rPr>
              <w:t>设备主要是办公设备，如电脑、打印机等。</w:t>
            </w:r>
          </w:p>
          <w:p>
            <w:pPr>
              <w:spacing w:line="240" w:lineRule="exact"/>
              <w:rPr>
                <w:rFonts w:ascii="宋体" w:hAnsi="宋体"/>
                <w:b/>
                <w:color w:val="000000" w:themeColor="text1"/>
                <w:sz w:val="20"/>
                <w:szCs w:val="20"/>
              </w:rPr>
            </w:pP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r>
              <w:rPr>
                <w:rFonts w:hint="eastAsia"/>
              </w:rPr>
              <w:t>现场观察办公区域环境卫生管理，工作场所布局合理，温湿度适宜，照明良好，满足办公需求。</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ascii="宋体" w:hAnsi="宋体"/>
                <w:b/>
                <w:sz w:val="21"/>
                <w:szCs w:val="21"/>
              </w:rPr>
            </w:pPr>
            <w:r>
              <w:rPr>
                <w:rFonts w:hint="eastAsia"/>
              </w:rPr>
              <w:t>编制有服务检查记录，能不定期对服务进行检查。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r>
              <w:rPr>
                <w:rFonts w:hint="eastAsia"/>
              </w:rPr>
              <w:t>公司确定运行过程所需的知识，内部来源包括公司运作准则（管理制度、工作记录等）等。外部来源包括外来资料如认证标准、法律法规、市场信息等。</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000000" w:themeColor="text1"/>
                <w:sz w:val="20"/>
                <w:szCs w:val="20"/>
              </w:rPr>
            </w:pPr>
            <w:r>
              <w:rPr>
                <w:rFonts w:hint="eastAsia"/>
              </w:rPr>
              <w:t>配备有消防栓、灭火器等环保设施。</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bCs/>
              </w:rPr>
            </w:pPr>
            <w:r>
              <w:rPr>
                <w:rFonts w:hint="eastAsia"/>
                <w:b/>
                <w:bCs/>
              </w:rPr>
              <w:t>职业健康安全设施：</w:t>
            </w:r>
          </w:p>
          <w:p>
            <w:pPr>
              <w:spacing w:line="240" w:lineRule="exact"/>
            </w:pPr>
            <w:r>
              <w:rPr>
                <w:rFonts w:hint="eastAsia"/>
              </w:rPr>
              <w:t>配备有灭火器等环保设施。</w:t>
            </w:r>
          </w:p>
          <w:p>
            <w:pPr>
              <w:pStyle w:val="2"/>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hint="eastAsia"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left="1"/>
              <w:rPr>
                <w:rFonts w:hint="eastAsia" w:ascii="宋体" w:hAnsi="宋体"/>
                <w:b/>
                <w:sz w:val="21"/>
                <w:szCs w:val="21"/>
              </w:rPr>
            </w:pPr>
          </w:p>
          <w:p>
            <w:pPr>
              <w:spacing w:line="300" w:lineRule="exact"/>
              <w:ind w:left="1"/>
              <w:rPr>
                <w:b/>
                <w:color w:val="auto"/>
                <w:sz w:val="20"/>
                <w:szCs w:val="20"/>
              </w:rPr>
            </w:pPr>
            <w:r>
              <w:rPr>
                <w:rFonts w:hint="eastAsia"/>
                <w:bCs/>
                <w:color w:val="auto"/>
                <w:szCs w:val="21"/>
              </w:rPr>
              <w:t>制定的方针符合组织宗旨，对方针进行宣传和传达学习，可以确保方针为员工理解。在管理评审中对方针进行了评价，目前基本适宜。</w:t>
            </w:r>
          </w:p>
          <w:p>
            <w:pPr>
              <w:spacing w:line="300" w:lineRule="exact"/>
              <w:ind w:left="1"/>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bCs/>
                <w:szCs w:val="21"/>
              </w:rPr>
            </w:pPr>
            <w:r>
              <w:rPr>
                <w:rFonts w:hint="eastAsia" w:ascii="楷体_GB2312" w:eastAsia="楷体_GB2312"/>
                <w:b/>
                <w:szCs w:val="21"/>
              </w:rPr>
              <w:t>组织对外联络，关注顾客的感受情况（QMS）：</w:t>
            </w:r>
            <w:r>
              <w:rPr>
                <w:rFonts w:hint="eastAsia"/>
                <w:bCs/>
                <w:szCs w:val="21"/>
              </w:rPr>
              <w:t>顾客满意度调查表的发放、电话回访、到顾客现场进行询问、相关方告知书等形式</w:t>
            </w:r>
          </w:p>
          <w:p>
            <w:pPr>
              <w:spacing w:line="240" w:lineRule="exact"/>
              <w:rPr>
                <w:bCs/>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外部信息的接收、成文并答复的情况（E、S填写）：</w:t>
            </w:r>
            <w:r>
              <w:rPr>
                <w:rFonts w:hint="eastAsia"/>
                <w:bCs/>
                <w:szCs w:val="21"/>
              </w:rPr>
              <w:t>进行接收、答复，但未进行记录</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重要环境因素信息对外交流情况（EMS填写）：</w:t>
            </w:r>
            <w:r>
              <w:rPr>
                <w:rFonts w:hint="eastAsia"/>
                <w:bCs/>
                <w:szCs w:val="21"/>
              </w:rPr>
              <w:t>对相关方进行了书面告知，见到相关方告知书。内容符合标准要求</w:t>
            </w:r>
          </w:p>
          <w:p>
            <w:pPr>
              <w:spacing w:line="240" w:lineRule="exact"/>
              <w:rPr>
                <w:rFonts w:ascii="楷体_GB2312" w:eastAsia="楷体_GB2312"/>
                <w:b/>
                <w:szCs w:val="21"/>
              </w:rPr>
            </w:pPr>
          </w:p>
          <w:p>
            <w:pPr>
              <w:spacing w:line="240" w:lineRule="exact"/>
              <w:rPr>
                <w:bCs/>
                <w:szCs w:val="21"/>
              </w:rPr>
            </w:pPr>
            <w:r>
              <w:rPr>
                <w:rFonts w:hint="eastAsia" w:ascii="楷体_GB2312" w:eastAsia="楷体_GB2312"/>
                <w:b/>
                <w:szCs w:val="21"/>
              </w:rPr>
              <w:t>OHSMS事务代表协商和交流的情况（OHSMS填写）：</w:t>
            </w:r>
            <w:r>
              <w:rPr>
                <w:rFonts w:hint="eastAsia"/>
                <w:bCs/>
                <w:szCs w:val="21"/>
              </w:rPr>
              <w:t>，参与了体系文件的制定，每年召开一次员工代表会议。但未保留记录</w:t>
            </w:r>
          </w:p>
          <w:p>
            <w:pPr>
              <w:spacing w:line="240" w:lineRule="exact"/>
              <w:rPr>
                <w:rFonts w:ascii="楷体_GB2312" w:eastAsia="楷体_GB2312"/>
                <w:b/>
                <w:szCs w:val="21"/>
              </w:rPr>
            </w:pPr>
          </w:p>
          <w:p>
            <w:pPr>
              <w:spacing w:line="240" w:lineRule="exact"/>
              <w:rPr>
                <w:rFonts w:ascii="宋体" w:hAnsi="宋体"/>
                <w:b/>
                <w:sz w:val="21"/>
                <w:szCs w:val="21"/>
              </w:rPr>
            </w:pPr>
            <w:r>
              <w:rPr>
                <w:rFonts w:hint="eastAsia" w:ascii="楷体_GB2312" w:eastAsia="楷体_GB2312"/>
                <w:b/>
                <w:szCs w:val="21"/>
              </w:rPr>
              <w:t>与相关方协商的情况（OHSMS填写）：</w:t>
            </w:r>
            <w:r>
              <w:rPr>
                <w:rFonts w:hint="eastAsia"/>
                <w:bCs/>
                <w:szCs w:val="21"/>
              </w:rPr>
              <w:t>对相关方进行了书面告知，见到相关方告知书。内容符合标准要求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201"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napToGrid w:val="0"/>
              <w:spacing w:line="280" w:lineRule="exact"/>
              <w:jc w:val="left"/>
            </w:pPr>
            <w:r>
              <w:rPr>
                <w:rFonts w:hint="eastAsia"/>
              </w:rPr>
              <w:t xml:space="preserve">销售服务过程控制：编制了相应的销售作业文件： </w:t>
            </w:r>
            <w:r>
              <w:rPr>
                <w:rFonts w:hint="eastAsia" w:ascii="宋体" w:hAnsi="宋体"/>
                <w:szCs w:val="21"/>
              </w:rPr>
              <w:t>净水设备的销售</w:t>
            </w:r>
            <w:r>
              <w:rPr>
                <w:rFonts w:hint="eastAsia"/>
              </w:rPr>
              <w:t>管理规范、服务规范、对</w:t>
            </w:r>
            <w:r>
              <w:rPr>
                <w:rFonts w:hint="eastAsia" w:ascii="宋体" w:hAnsi="宋体"/>
                <w:szCs w:val="21"/>
              </w:rPr>
              <w:t>净水设备的销售</w:t>
            </w:r>
            <w:r>
              <w:rPr>
                <w:rFonts w:hint="eastAsia"/>
              </w:rPr>
              <w:t>的整个过程做了明确的要求，从顾客沟通、合同评审、服务规范等各阶段，规定了服务的要求</w:t>
            </w:r>
          </w:p>
          <w:p>
            <w:pPr>
              <w:pStyle w:val="2"/>
            </w:pPr>
            <w:r>
              <w:rPr>
                <w:rFonts w:hint="eastAsia"/>
              </w:rPr>
              <w:t>销售服务的特殊过程控制从以下几个方面进行控制：</w:t>
            </w:r>
          </w:p>
          <w:p>
            <w:pPr>
              <w:pStyle w:val="2"/>
              <w:rPr>
                <w:color w:val="000000"/>
                <w:szCs w:val="22"/>
              </w:rPr>
            </w:pPr>
            <w:r>
              <w:rPr>
                <w:rFonts w:hint="eastAsia"/>
                <w:color w:val="000000"/>
              </w:rPr>
              <w:t>1)</w:t>
            </w:r>
            <w:r>
              <w:rPr>
                <w:rFonts w:hint="eastAsia"/>
                <w:color w:val="000000"/>
                <w:szCs w:val="22"/>
              </w:rPr>
              <w:t>接单:销售部业务员接收和接洽，是否有记录公司的《服务礼仪规定》能否满足要求，有无顾客投诉</w:t>
            </w:r>
          </w:p>
          <w:p>
            <w:pPr>
              <w:pStyle w:val="2"/>
              <w:rPr>
                <w:color w:val="000000"/>
                <w:szCs w:val="22"/>
              </w:rPr>
            </w:pPr>
            <w:r>
              <w:rPr>
                <w:rFonts w:hint="eastAsia"/>
                <w:color w:val="000000"/>
                <w:szCs w:val="22"/>
              </w:rPr>
              <w:t>2)采购:接收的产品销售任务是否及时传递到生产供方\编制“采购计划表”，是否及时跟踪并控制交货进度</w:t>
            </w:r>
          </w:p>
          <w:p>
            <w:pPr>
              <w:pStyle w:val="2"/>
              <w:rPr>
                <w:color w:val="000000"/>
                <w:szCs w:val="22"/>
              </w:rPr>
            </w:pPr>
            <w:r>
              <w:rPr>
                <w:rFonts w:hint="eastAsia"/>
                <w:color w:val="000000"/>
                <w:szCs w:val="22"/>
              </w:rPr>
              <w:t>3)发货:销售人员根据订单，把货物发到客户，销售部业务人员要仔细核对发货信息、货物信息等，是否检查防护措施/顾客要求时，是否按提供质量保证资料</w:t>
            </w:r>
          </w:p>
          <w:p>
            <w:pPr>
              <w:spacing w:line="240" w:lineRule="exact"/>
              <w:rPr>
                <w:rFonts w:ascii="宋体" w:hAnsi="宋体"/>
                <w:b/>
                <w:sz w:val="21"/>
                <w:szCs w:val="21"/>
              </w:rPr>
            </w:pPr>
            <w:r>
              <w:rPr>
                <w:rFonts w:hint="eastAsia"/>
                <w:color w:val="000000"/>
                <w:szCs w:val="22"/>
              </w:rPr>
              <w:t>4)售后服务:提交产品后，销售部是否去电话询问产品质量情况/顾客有上门服务要求时，是否在规定时间内予以答复并填写质量信息记录和顾客服务记录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rPr>
                <w:rFonts w:ascii="宋体" w:hAnsi="宋体"/>
                <w:b/>
                <w:sz w:val="21"/>
                <w:szCs w:val="21"/>
              </w:rPr>
            </w:pPr>
          </w:p>
          <w:p>
            <w:pPr>
              <w:spacing w:line="240" w:lineRule="exact"/>
              <w:rPr>
                <w:rFonts w:ascii="宋体" w:hAnsi="宋体"/>
                <w:b/>
                <w:sz w:val="21"/>
                <w:szCs w:val="21"/>
              </w:rPr>
            </w:pPr>
          </w:p>
          <w:p>
            <w:pPr>
              <w:spacing w:line="300" w:lineRule="exact"/>
              <w:rPr>
                <w:rFonts w:ascii="宋体" w:hAnsi="宋体"/>
                <w:b/>
                <w:color w:val="auto"/>
                <w:sz w:val="21"/>
                <w:szCs w:val="21"/>
              </w:rPr>
            </w:pPr>
          </w:p>
          <w:p>
            <w:pPr>
              <w:spacing w:line="240" w:lineRule="exact"/>
              <w:rPr>
                <w:rFonts w:ascii="宋体" w:hAnsi="宋体"/>
                <w:b/>
                <w:sz w:val="21"/>
                <w:szCs w:val="21"/>
              </w:rPr>
            </w:pPr>
            <w:r>
              <w:rPr>
                <w:rFonts w:hint="eastAsia" w:ascii="宋体" w:hAnsi="宋体" w:cs="宋体"/>
                <w:color w:val="auto"/>
                <w:szCs w:val="21"/>
              </w:rPr>
              <w:t>制定并实施了产品检验控制规定，规定了公司各管理层次和品质检测部门在各阶段对产品服务质量实施检查与验收的管理要求。内容基本具备全面性、系统性及可操作性。质量检查与验收均在</w:t>
            </w:r>
            <w:r>
              <w:rPr>
                <w:rFonts w:hint="eastAsia" w:ascii="宋体" w:hAnsi="宋体" w:cs="宋体"/>
                <w:color w:val="auto"/>
                <w:szCs w:val="21"/>
                <w:lang w:eastAsia="zh-CN"/>
              </w:rPr>
              <w:t>交付顾客</w:t>
            </w:r>
            <w:r>
              <w:rPr>
                <w:rFonts w:hint="eastAsia" w:ascii="宋体" w:hAnsi="宋体" w:cs="宋体"/>
                <w:color w:val="auto"/>
                <w:szCs w:val="21"/>
              </w:rPr>
              <w:t>前予以实现，范围包括：过程、最终产品。以此保证持续向顾客稳定提供稳定合格的产品</w:t>
            </w: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ind w:firstLine="211" w:firstLineChars="100"/>
              <w:rPr>
                <w:rFonts w:ascii="宋体" w:hAnsi="宋体"/>
                <w:b/>
                <w:sz w:val="21"/>
                <w:szCs w:val="21"/>
              </w:rPr>
            </w:pPr>
          </w:p>
          <w:p>
            <w:pPr>
              <w:spacing w:line="240" w:lineRule="exact"/>
              <w:ind w:firstLine="211" w:firstLineChars="100"/>
              <w:rPr>
                <w:rFonts w:ascii="宋体" w:hAnsi="宋体"/>
                <w:b/>
                <w:sz w:val="21"/>
                <w:szCs w:val="21"/>
              </w:rPr>
            </w:pP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无</w:t>
            </w:r>
          </w:p>
          <w:p>
            <w:pPr>
              <w:spacing w:line="240" w:lineRule="exact"/>
              <w:rPr>
                <w:rFonts w:ascii="宋体" w:hAnsi="宋体"/>
                <w:b/>
                <w:sz w:val="21"/>
                <w:szCs w:val="21"/>
              </w:rPr>
            </w:pP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p>
            <w:pPr>
              <w:spacing w:line="300" w:lineRule="exact"/>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rPr>
                <w:rFonts w:ascii="宋体" w:hAnsi="宋体"/>
                <w:b/>
                <w:sz w:val="21"/>
                <w:szCs w:val="21"/>
              </w:rPr>
            </w:pPr>
            <w:r>
              <w:rPr>
                <w:rFonts w:hint="eastAsia" w:ascii="宋体" w:hAnsi="宋体" w:cs="宋体"/>
                <w:color w:val="auto"/>
                <w:szCs w:val="21"/>
              </w:rPr>
              <w:t>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p>
          <w:p>
            <w:pPr>
              <w:spacing w:line="240" w:lineRule="exact"/>
              <w:rPr>
                <w:rFonts w:ascii="宋体" w:hAnsi="宋体"/>
                <w:b/>
                <w:sz w:val="21"/>
                <w:szCs w:val="21"/>
              </w:rPr>
            </w:pPr>
            <w:r>
              <w:rPr>
                <w:rFonts w:hint="eastAsia"/>
                <w:bCs/>
                <w:szCs w:val="21"/>
              </w:rPr>
              <w:t>对重要环境因素（火灾、固体废弃物的排放）进行了识别和控制。目前公司重大环境因素对周边环境影响不大，可得到有效控制。对相关方进行了必要告知。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p>
          <w:p>
            <w:pPr>
              <w:spacing w:line="240" w:lineRule="exact"/>
              <w:rPr>
                <w:rFonts w:ascii="宋体" w:hAnsi="宋体"/>
                <w:b/>
                <w:sz w:val="21"/>
                <w:szCs w:val="21"/>
              </w:rPr>
            </w:pPr>
            <w:r>
              <w:rPr>
                <w:rFonts w:hint="eastAsia"/>
                <w:bCs/>
                <w:szCs w:val="21"/>
              </w:rPr>
              <w:t>对不可接受风险（火灾</w:t>
            </w:r>
            <w:r>
              <w:rPr>
                <w:rFonts w:hint="eastAsia"/>
                <w:bCs/>
                <w:szCs w:val="21"/>
                <w:lang w:eastAsia="zh-CN"/>
              </w:rPr>
              <w:t>、</w:t>
            </w:r>
            <w:r>
              <w:rPr>
                <w:rFonts w:hint="eastAsia"/>
                <w:bCs/>
                <w:szCs w:val="21"/>
                <w:lang w:val="en-US" w:eastAsia="zh-CN"/>
              </w:rPr>
              <w:t>触电、意外伤害</w:t>
            </w:r>
            <w:r>
              <w:rPr>
                <w:rFonts w:hint="eastAsia"/>
                <w:bCs/>
                <w:szCs w:val="21"/>
              </w:rPr>
              <w:t>）进行了识别和控制。目前公司不可接受风险对公司及周边环境影响不大，可得到有效控制。对相关方进行了必要告知。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p>
          <w:p>
            <w:pPr>
              <w:spacing w:line="240" w:lineRule="exact"/>
              <w:rPr>
                <w:rFonts w:ascii="宋体" w:hAnsi="宋体"/>
                <w:b/>
                <w:sz w:val="21"/>
                <w:szCs w:val="21"/>
              </w:rPr>
            </w:pPr>
            <w:r>
              <w:rPr>
                <w:rFonts w:hint="eastAsia"/>
                <w:bCs/>
                <w:szCs w:val="21"/>
              </w:rPr>
              <w:t>对火灾等制定了应急预案，并按要求进行了演练和评审，对演练效果进行了评价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bCs/>
              </w:rPr>
            </w:pPr>
            <w:r>
              <w:rPr>
                <w:rFonts w:hint="eastAsia"/>
                <w:b/>
                <w:bCs/>
              </w:rPr>
              <w:t>11 .对危险化学品销售、使用、储存、运输处置，规定的执行力度(必要时); （适用时）</w:t>
            </w:r>
          </w:p>
          <w:p>
            <w:pPr>
              <w:pStyle w:val="2"/>
              <w:rPr>
                <w:b/>
                <w:sz w:val="20"/>
                <w:szCs w:val="20"/>
              </w:rPr>
            </w:pPr>
          </w:p>
          <w:p>
            <w:pPr>
              <w:pStyle w:val="2"/>
              <w:rPr>
                <w:rFonts w:ascii="宋体" w:hAnsi="宋体"/>
                <w:b/>
                <w:sz w:val="21"/>
                <w:szCs w:val="21"/>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vAlign w:val="top"/>
          </w:tcPr>
          <w:p>
            <w:pPr>
              <w:spacing w:line="240" w:lineRule="exact"/>
              <w:ind w:left="100" w:hanging="100" w:hangingChars="50"/>
              <w:rPr>
                <w:b/>
                <w:color w:val="auto"/>
                <w:sz w:val="20"/>
                <w:szCs w:val="20"/>
              </w:rPr>
            </w:pPr>
            <w:r>
              <w:rPr>
                <w:rFonts w:hint="eastAsia"/>
                <w:b/>
                <w:color w:val="auto"/>
                <w:sz w:val="20"/>
                <w:szCs w:val="20"/>
              </w:rPr>
              <w:t>1. .对质量/环境/职业健康安全目标指标进行定期监测/检查情况</w:t>
            </w:r>
          </w:p>
          <w:p>
            <w:pPr>
              <w:spacing w:line="240" w:lineRule="exact"/>
              <w:ind w:firstLine="100" w:firstLineChars="50"/>
              <w:rPr>
                <w:b/>
                <w:color w:val="auto"/>
                <w:sz w:val="20"/>
                <w:szCs w:val="20"/>
              </w:rPr>
            </w:pPr>
          </w:p>
          <w:p>
            <w:pPr>
              <w:spacing w:line="240" w:lineRule="exact"/>
              <w:ind w:firstLine="120" w:firstLineChars="50"/>
              <w:rPr>
                <w:rFonts w:ascii="宋体" w:hAnsi="宋体"/>
                <w:b/>
                <w:sz w:val="21"/>
                <w:szCs w:val="21"/>
              </w:rPr>
            </w:pPr>
            <w:r>
              <w:rPr>
                <w:rFonts w:hint="eastAsia" w:ascii="宋体" w:hAnsi="宋体" w:cs="宋体"/>
                <w:color w:val="auto"/>
                <w:szCs w:val="21"/>
                <w:highlight w:val="none"/>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1月</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2020年6</w:t>
            </w:r>
            <w:r>
              <w:rPr>
                <w:rFonts w:hint="eastAsia" w:ascii="宋体" w:hAnsi="宋体" w:cs="宋体"/>
                <w:color w:val="auto"/>
                <w:szCs w:val="21"/>
                <w:highlight w:val="none"/>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ind w:left="100" w:hanging="100" w:hangingChars="50"/>
              <w:rPr>
                <w:b/>
                <w:color w:val="auto"/>
                <w:sz w:val="20"/>
                <w:szCs w:val="20"/>
              </w:rPr>
            </w:pPr>
            <w:r>
              <w:rPr>
                <w:rFonts w:hint="eastAsia"/>
                <w:b/>
                <w:color w:val="auto"/>
                <w:sz w:val="20"/>
                <w:szCs w:val="20"/>
              </w:rPr>
              <w:t>2.顾客满意</w:t>
            </w:r>
          </w:p>
          <w:p>
            <w:pPr>
              <w:spacing w:line="240" w:lineRule="exact"/>
              <w:ind w:left="100" w:hanging="100" w:hangingChars="50"/>
              <w:rPr>
                <w:b/>
                <w:color w:val="auto"/>
                <w:sz w:val="20"/>
                <w:szCs w:val="20"/>
              </w:rPr>
            </w:pPr>
          </w:p>
          <w:p>
            <w:pPr>
              <w:spacing w:line="240" w:lineRule="exact"/>
              <w:ind w:left="120" w:leftChars="0" w:hanging="120" w:hangingChars="50"/>
              <w:rPr>
                <w:rFonts w:ascii="宋体" w:hAnsi="宋体"/>
                <w:b/>
                <w:sz w:val="21"/>
                <w:szCs w:val="21"/>
              </w:rPr>
            </w:pPr>
            <w:r>
              <w:rPr>
                <w:rFonts w:hint="eastAsia" w:ascii="宋体" w:hAnsi="宋体" w:cs="宋体"/>
                <w:color w:val="auto"/>
                <w:szCs w:val="21"/>
                <w:highlight w:val="none"/>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满意度评价9</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color w:val="auto"/>
                <w:sz w:val="20"/>
                <w:szCs w:val="20"/>
              </w:rPr>
            </w:pPr>
            <w:r>
              <w:rPr>
                <w:rFonts w:hint="eastAsia"/>
                <w:b/>
                <w:color w:val="auto"/>
                <w:sz w:val="20"/>
                <w:szCs w:val="20"/>
              </w:rPr>
              <w:t>3. 内审（包括内审策划审核方案中考虑拟审核的过程和区域的状况和重要性）</w:t>
            </w:r>
          </w:p>
          <w:p>
            <w:pPr>
              <w:spacing w:line="240" w:lineRule="exact"/>
              <w:rPr>
                <w:b/>
                <w:color w:val="auto"/>
                <w:spacing w:val="-8"/>
                <w:sz w:val="20"/>
                <w:szCs w:val="20"/>
              </w:rPr>
            </w:pPr>
          </w:p>
          <w:p>
            <w:pPr>
              <w:spacing w:line="240" w:lineRule="exact"/>
              <w:rPr>
                <w:rFonts w:ascii="宋体" w:hAnsi="宋体"/>
                <w:b/>
                <w:color w:val="auto"/>
                <w:sz w:val="21"/>
                <w:szCs w:val="21"/>
              </w:rPr>
            </w:pPr>
          </w:p>
          <w:p>
            <w:pPr>
              <w:spacing w:line="240" w:lineRule="exact"/>
              <w:rPr>
                <w:rFonts w:ascii="宋体" w:hAnsi="宋体"/>
                <w:b/>
                <w:sz w:val="21"/>
                <w:szCs w:val="21"/>
              </w:rPr>
            </w:pPr>
            <w:r>
              <w:rPr>
                <w:rFonts w:hint="eastAsia" w:ascii="宋体" w:hAnsi="宋体"/>
                <w:color w:val="auto"/>
                <w:szCs w:val="21"/>
              </w:rPr>
              <w:t>建立有《内部审核控制程序》，规定了内审频次一年一次，内审时间：</w:t>
            </w:r>
            <w:r>
              <w:rPr>
                <w:rFonts w:hint="eastAsia"/>
                <w:color w:val="auto"/>
              </w:rPr>
              <w:t>2020年</w:t>
            </w:r>
            <w:r>
              <w:rPr>
                <w:rFonts w:hint="eastAsia"/>
                <w:color w:val="auto"/>
                <w:lang w:val="en-US" w:eastAsia="zh-CN"/>
              </w:rPr>
              <w:t>7</w:t>
            </w:r>
            <w:r>
              <w:rPr>
                <w:rFonts w:hint="eastAsia"/>
                <w:color w:val="auto"/>
              </w:rPr>
              <w:t>月</w:t>
            </w:r>
            <w:r>
              <w:rPr>
                <w:rFonts w:hint="eastAsia"/>
                <w:color w:val="auto"/>
                <w:lang w:val="en-US" w:eastAsia="zh-CN"/>
              </w:rPr>
              <w:t>11</w:t>
            </w:r>
            <w:r>
              <w:rPr>
                <w:rFonts w:hint="eastAsia"/>
                <w:color w:val="auto"/>
              </w:rPr>
              <w:t>日</w:t>
            </w:r>
            <w:r>
              <w:rPr>
                <w:rFonts w:hint="eastAsia" w:ascii="宋体" w:hAnsi="宋体"/>
                <w:color w:val="auto"/>
                <w:szCs w:val="21"/>
              </w:rPr>
              <w:t>，拟定了审核实施表，明确了内审范围，内审人员经培训合格上岗，能力满足要求，未出现审核本部门情况，内审</w:t>
            </w:r>
            <w:r>
              <w:rPr>
                <w:rFonts w:hint="eastAsia" w:ascii="宋体" w:hAnsi="宋体"/>
                <w:color w:val="auto"/>
                <w:szCs w:val="21"/>
                <w:highlight w:val="none"/>
              </w:rPr>
              <w:t>不符合项</w:t>
            </w:r>
            <w:r>
              <w:rPr>
                <w:rFonts w:hint="eastAsia" w:ascii="宋体" w:hAnsi="宋体"/>
                <w:color w:val="auto"/>
                <w:szCs w:val="21"/>
                <w:highlight w:val="none"/>
                <w:lang w:val="en-US" w:eastAsia="zh-CN"/>
              </w:rPr>
              <w:t>1</w:t>
            </w:r>
            <w:r>
              <w:rPr>
                <w:rFonts w:hint="eastAsia" w:ascii="宋体" w:hAnsi="宋体"/>
                <w:color w:val="auto"/>
                <w:szCs w:val="21"/>
                <w:highlight w:val="none"/>
              </w:rPr>
              <w:t>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color w:val="auto"/>
                <w:sz w:val="20"/>
                <w:szCs w:val="20"/>
              </w:rPr>
            </w:pPr>
            <w:r>
              <w:rPr>
                <w:rFonts w:hint="eastAsia"/>
                <w:b/>
                <w:color w:val="auto"/>
                <w:sz w:val="20"/>
                <w:szCs w:val="20"/>
              </w:rPr>
              <w:t>4.管理评审（管理评审体系变更需求，纠正和预防措施、体系有效性等）</w:t>
            </w:r>
          </w:p>
          <w:p>
            <w:pPr>
              <w:spacing w:line="240" w:lineRule="exact"/>
              <w:rPr>
                <w:b/>
                <w:color w:val="auto"/>
                <w:sz w:val="20"/>
                <w:szCs w:val="20"/>
              </w:rPr>
            </w:pPr>
          </w:p>
          <w:p>
            <w:pPr>
              <w:rPr>
                <w:rFonts w:ascii="宋体" w:hAnsi="宋体"/>
                <w:b/>
                <w:sz w:val="21"/>
                <w:szCs w:val="21"/>
              </w:rPr>
            </w:pPr>
            <w:r>
              <w:rPr>
                <w:rFonts w:hint="eastAsia" w:ascii="宋体" w:hAnsi="宋体" w:cs="宋体"/>
                <w:color w:val="auto"/>
                <w:szCs w:val="21"/>
              </w:rPr>
              <w:t>管理评审频次为一年一次、本次管理评审于</w:t>
            </w:r>
            <w:r>
              <w:rPr>
                <w:rFonts w:hint="eastAsia"/>
                <w:color w:val="auto"/>
              </w:rPr>
              <w:t>2020年</w:t>
            </w:r>
            <w:r>
              <w:rPr>
                <w:rFonts w:hint="eastAsia"/>
                <w:color w:val="auto"/>
                <w:lang w:val="en-US" w:eastAsia="zh-CN"/>
              </w:rPr>
              <w:t>7</w:t>
            </w:r>
            <w:r>
              <w:rPr>
                <w:rFonts w:hint="eastAsia"/>
                <w:color w:val="auto"/>
              </w:rPr>
              <w:t>月2</w:t>
            </w:r>
            <w:r>
              <w:rPr>
                <w:rFonts w:hint="eastAsia"/>
                <w:color w:val="auto"/>
                <w:lang w:val="en-US" w:eastAsia="zh-CN"/>
              </w:rPr>
              <w:t>0</w:t>
            </w:r>
            <w:r>
              <w:rPr>
                <w:rFonts w:hint="eastAsia"/>
                <w:color w:val="auto"/>
              </w:rPr>
              <w:t>日</w:t>
            </w:r>
            <w:r>
              <w:rPr>
                <w:rFonts w:hint="eastAsia" w:ascii="宋体" w:hAnsi="宋体" w:cs="宋体"/>
                <w:color w:val="auto"/>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 w:val="20"/>
              </w:rPr>
            </w:pPr>
          </w:p>
        </w:tc>
        <w:tc>
          <w:tcPr>
            <w:tcW w:w="9198" w:type="dxa"/>
            <w:vAlign w:val="top"/>
          </w:tcPr>
          <w:p>
            <w:pPr>
              <w:numPr>
                <w:ilvl w:val="0"/>
                <w:numId w:val="3"/>
              </w:numPr>
              <w:spacing w:line="240" w:lineRule="exact"/>
              <w:rPr>
                <w:rFonts w:hint="eastAsia"/>
              </w:rPr>
            </w:pPr>
            <w:r>
              <w:rPr>
                <w:rFonts w:hint="eastAsia"/>
              </w:rPr>
              <w:t xml:space="preserve"> EMS是否按规定对主要污染物（污水、废气、噪声、废渣等）及排放实施了例行的监视或测量，结果是否满足相关要求？</w:t>
            </w:r>
          </w:p>
          <w:p>
            <w:pPr>
              <w:pStyle w:val="2"/>
              <w:numPr>
                <w:ilvl w:val="0"/>
                <w:numId w:val="0"/>
              </w:numPr>
              <w:ind w:left="0" w:leftChars="0" w:firstLine="0" w:firstLineChars="0"/>
              <w:rPr>
                <w:rFonts w:ascii="宋体" w:hAnsi="宋体"/>
                <w:b/>
                <w:sz w:val="21"/>
                <w:szCs w:val="21"/>
              </w:rPr>
            </w:pPr>
            <w:r>
              <w:rPr>
                <w:rFonts w:hint="eastAsia"/>
                <w:lang w:val="en-US" w:eastAsia="zh-CN"/>
              </w:rPr>
              <w:t>对噪音进行了监测，符合要求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240" w:lineRule="exact"/>
              <w:rPr>
                <w:rFonts w:ascii="宋体" w:hAnsi="宋体"/>
                <w:b/>
                <w:sz w:val="21"/>
                <w:szCs w:val="21"/>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ascii="宋体" w:hAnsi="宋体"/>
                <w:b/>
                <w:sz w:val="21"/>
                <w:szCs w:val="21"/>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vAlign w:val="top"/>
          </w:tcPr>
          <w:p>
            <w:pPr>
              <w:widowControl/>
              <w:spacing w:line="240" w:lineRule="exact"/>
              <w:rPr>
                <w:rFonts w:ascii="宋体" w:hAnsi="宋体"/>
                <w:b/>
                <w:sz w:val="21"/>
                <w:szCs w:val="21"/>
              </w:rPr>
            </w:pPr>
            <w:r>
              <w:rPr>
                <w:rFonts w:hint="eastAsia"/>
                <w:b/>
                <w:color w:val="000000" w:themeColor="text1"/>
                <w:sz w:val="20"/>
                <w:szCs w:val="20"/>
              </w:rPr>
              <w:t>9. 其他能够标明组织绩效、信誉的证据/信息：</w:t>
            </w: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ind w:firstLine="422" w:firstLineChars="200"/>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240" w:lineRule="exact"/>
              <w:ind w:firstLine="480" w:firstLineChars="200"/>
              <w:rPr>
                <w:rFonts w:hint="eastAsia"/>
                <w:color w:val="auto"/>
              </w:rPr>
            </w:pPr>
            <w:r>
              <w:rPr>
                <w:rFonts w:hint="eastAsia"/>
                <w:color w:val="auto"/>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p>
            <w:pPr>
              <w:spacing w:line="240" w:lineRule="exact"/>
              <w:rPr>
                <w:rFonts w:ascii="宋体" w:hAnsi="宋体"/>
                <w:b/>
                <w:sz w:val="21"/>
                <w:szCs w:val="21"/>
              </w:rPr>
            </w:pP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numPr>
                <w:ilvl w:val="0"/>
                <w:numId w:val="4"/>
              </w:numPr>
              <w:spacing w:line="240" w:lineRule="exact"/>
              <w:rPr>
                <w:rFonts w:hint="eastAsia"/>
              </w:rPr>
            </w:pPr>
            <w:r>
              <w:rPr>
                <w:rFonts w:hint="eastAsia"/>
              </w:rPr>
              <w:t>创新情况</w:t>
            </w:r>
          </w:p>
          <w:p>
            <w:pPr>
              <w:pStyle w:val="2"/>
              <w:numPr>
                <w:ilvl w:val="0"/>
                <w:numId w:val="0"/>
              </w:numPr>
              <w:rPr>
                <w:rFonts w:hint="default" w:eastAsia="宋体"/>
                <w:lang w:val="en-US" w:eastAsia="zh-CN"/>
              </w:rPr>
            </w:pPr>
            <w:r>
              <w:rPr>
                <w:rFonts w:hint="eastAsia"/>
                <w:lang w:val="en-US" w:eastAsia="zh-CN"/>
              </w:rPr>
              <w:t>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4"/>
              </w:numPr>
              <w:spacing w:line="240" w:lineRule="exact"/>
              <w:ind w:left="0" w:leftChars="0" w:firstLine="0" w:firstLineChars="0"/>
              <w:rPr>
                <w:rFonts w:hint="eastAsia"/>
                <w:lang w:eastAsia="zh-CN"/>
              </w:rPr>
            </w:pPr>
            <w:r>
              <w:rPr>
                <w:rFonts w:hint="eastAsia"/>
              </w:rPr>
              <w:t>上次不符合的整改情况</w:t>
            </w:r>
            <w:r>
              <w:rPr>
                <w:rFonts w:hint="eastAsia"/>
                <w:lang w:eastAsia="zh-CN"/>
              </w:rPr>
              <w:t>：</w:t>
            </w:r>
          </w:p>
          <w:p>
            <w:pPr>
              <w:pStyle w:val="2"/>
              <w:numPr>
                <w:ilvl w:val="0"/>
                <w:numId w:val="0"/>
              </w:numPr>
              <w:ind w:leftChars="0"/>
              <w:rPr>
                <w:rFonts w:hint="default"/>
                <w:lang w:val="en-US" w:eastAsia="zh-CN"/>
              </w:rPr>
            </w:pPr>
            <w:r>
              <w:rPr>
                <w:rFonts w:hint="eastAsia"/>
                <w:lang w:val="en-US" w:eastAsia="zh-CN"/>
              </w:rPr>
              <w:t>上次不符合：</w:t>
            </w:r>
            <w:r>
              <w:rPr>
                <w:rFonts w:hint="eastAsia" w:ascii="宋体" w:hAnsi="宋体" w:eastAsia="方正仿宋简体"/>
                <w:sz w:val="24"/>
                <w:szCs w:val="24"/>
                <w:lang w:eastAsia="zh-CN"/>
              </w:rPr>
              <w:t>未提供向</w:t>
            </w:r>
            <w:r>
              <w:rPr>
                <w:rFonts w:hint="eastAsia" w:ascii="宋体" w:hAnsi="宋体" w:eastAsia="方正仿宋简体"/>
                <w:sz w:val="24"/>
                <w:szCs w:val="24"/>
                <w:lang w:val="en-US" w:eastAsia="zh-CN"/>
              </w:rPr>
              <w:t>采购</w:t>
            </w:r>
            <w:r>
              <w:rPr>
                <w:rFonts w:hint="eastAsia" w:ascii="宋体" w:hAnsi="宋体"/>
                <w:sz w:val="24"/>
                <w:lang w:eastAsia="zh-CN"/>
              </w:rPr>
              <w:t>相关方</w:t>
            </w:r>
            <w:r>
              <w:rPr>
                <w:rFonts w:hint="eastAsia" w:ascii="宋体" w:hAnsi="宋体"/>
                <w:sz w:val="24"/>
                <w:lang w:val="en-US" w:eastAsia="zh-CN"/>
              </w:rPr>
              <w:t>----海南</w:t>
            </w:r>
            <w:r>
              <w:rPr>
                <w:rFonts w:hint="eastAsia"/>
                <w:sz w:val="24"/>
                <w:u w:val="none"/>
              </w:rPr>
              <w:t>荣曜</w:t>
            </w:r>
            <w:r>
              <w:rPr>
                <w:rFonts w:hint="eastAsia" w:ascii="宋体" w:hAnsi="宋体"/>
                <w:sz w:val="24"/>
                <w:lang w:val="en-US" w:eastAsia="zh-CN"/>
              </w:rPr>
              <w:t>沉香产业发展</w:t>
            </w:r>
            <w:r>
              <w:rPr>
                <w:rFonts w:hint="eastAsia" w:ascii="宋体" w:hAnsi="宋体"/>
                <w:sz w:val="24"/>
                <w:lang w:eastAsia="zh-CN"/>
              </w:rPr>
              <w:t>有限公司</w:t>
            </w:r>
            <w:r>
              <w:rPr>
                <w:rFonts w:hint="eastAsia" w:ascii="宋体" w:hAnsi="宋体"/>
                <w:sz w:val="24"/>
                <w:lang w:val="en-US" w:eastAsia="zh-CN"/>
              </w:rPr>
              <w:t>发放</w:t>
            </w:r>
            <w:r>
              <w:rPr>
                <w:rFonts w:hint="eastAsia" w:ascii="宋体" w:hAnsi="宋体"/>
                <w:sz w:val="24"/>
                <w:lang w:eastAsia="zh-CN"/>
              </w:rPr>
              <w:t>环境、职业健康安全告知书</w:t>
            </w:r>
            <w:r>
              <w:rPr>
                <w:rFonts w:hint="eastAsia" w:ascii="宋体" w:hAnsi="宋体"/>
                <w:sz w:val="24"/>
                <w:lang w:val="en-US" w:eastAsia="zh-CN"/>
              </w:rPr>
              <w:t>证据，</w:t>
            </w:r>
            <w:r>
              <w:rPr>
                <w:rFonts w:hint="eastAsia"/>
                <w:lang w:val="en-US" w:eastAsia="zh-CN"/>
              </w:rPr>
              <w:t>已经整改</w:t>
            </w:r>
            <w:bookmarkStart w:id="25" w:name="_GoBack"/>
            <w:bookmarkEnd w:id="25"/>
            <w:r>
              <w:rPr>
                <w:rFonts w:hint="eastAsia"/>
                <w:lang w:val="en-US" w:eastAsia="zh-CN"/>
              </w:rPr>
              <w:t>完成，本次未出现，整改有效</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hint="eastAsia" w:ascii="宋体" w:eastAsia="宋体"/>
          <w:b/>
          <w:szCs w:val="21"/>
          <w:lang w:val="en-US" w:eastAsia="zh-CN"/>
        </w:rPr>
      </w:pPr>
      <w:r>
        <w:rPr>
          <w:rFonts w:hint="eastAsia"/>
          <w:b/>
          <w:spacing w:val="-10"/>
          <w:szCs w:val="21"/>
        </w:rPr>
        <w:t>□</w:t>
      </w:r>
      <w:r>
        <w:rPr>
          <w:rFonts w:hint="eastAsia" w:ascii="宋体" w:hAnsi="宋体"/>
          <w:b/>
          <w:szCs w:val="21"/>
        </w:rPr>
        <w:t>可能影响本次审核结论可靠性的因素：</w:t>
      </w:r>
      <w:r>
        <w:rPr>
          <w:rFonts w:hint="eastAsia" w:ascii="宋体" w:hAnsi="宋体"/>
          <w:b/>
          <w:szCs w:val="21"/>
          <w:lang w:val="en-US" w:eastAsia="zh-CN"/>
        </w:rPr>
        <w:t>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本次审核共开具不符合项报告项；其中</w:t>
      </w:r>
      <w:r>
        <w:rPr>
          <w:rFonts w:ascii="宋体" w:hAnsi="宋体"/>
          <w:b/>
          <w:szCs w:val="21"/>
        </w:rPr>
        <w:pict>
          <v:line id="直接连接符 1" o:spid="_x0000_s2051"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严重不符合项，一般不符合项，观察项项分布在部门条款，见不符合项分布表。（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pStyle w:val="16"/>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hint="eastAsia"/>
                <w:color w:val="auto"/>
                <w:kern w:val="2"/>
                <w:sz w:val="21"/>
                <w:szCs w:val="21"/>
                <w:u w:val="single"/>
                <w:lang w:val="en-GB"/>
              </w:rPr>
              <w:t xml:space="preserve"> </w:t>
            </w:r>
            <w:r>
              <w:rPr>
                <w:rFonts w:ascii="宋体" w:hAnsi="宋体"/>
                <w:szCs w:val="21"/>
              </w:rPr>
              <w:t>海南黎母沉香产业发展有限公司</w:t>
            </w:r>
            <w:r>
              <w:rPr>
                <w:rFonts w:hint="eastAsia"/>
                <w:color w:val="auto"/>
                <w:sz w:val="21"/>
                <w:szCs w:val="21"/>
                <w:u w:val="single"/>
                <w:lang w:val="en-US" w:eastAsia="zh-CN"/>
              </w:rPr>
              <w:t xml:space="preserve"> </w:t>
            </w:r>
            <w:r>
              <w:rPr>
                <w:rFonts w:hint="eastAsia"/>
                <w:color w:val="auto"/>
                <w:kern w:val="2"/>
                <w:sz w:val="21"/>
                <w:szCs w:val="21"/>
                <w:lang w:val="en-GB"/>
              </w:rPr>
              <w:t>的</w:t>
            </w:r>
          </w:p>
          <w:p>
            <w:pPr>
              <w:pStyle w:val="16"/>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ascii="宋体" w:hAnsi="宋体" w:eastAsia="宋体" w:cs="宋体"/>
                <w:b/>
                <w:color w:val="auto"/>
                <w:kern w:val="2"/>
                <w:sz w:val="21"/>
                <w:szCs w:val="21"/>
                <w:lang w:val="en-GB"/>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6"/>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40" w:lineRule="exact"/>
            </w:pPr>
            <w:r>
              <w:rPr>
                <w:rFonts w:hint="eastAsia"/>
              </w:rPr>
              <w:t>组织建立并实施的管理体系基本符合标准要求，可能存在的重要风险可以得到有效控制，没有出现过环境和安全事故以及顾客投诉事件发生，体系运行基本有效，组织初步建立了自我完善和自我改进机制，同意推荐</w:t>
            </w:r>
            <w:r>
              <w:rPr>
                <w:rFonts w:hint="eastAsia"/>
                <w:lang w:val="en-US" w:eastAsia="zh-CN"/>
              </w:rPr>
              <w:t>保持</w:t>
            </w:r>
            <w:r>
              <w:rPr>
                <w:rFonts w:hint="eastAsia"/>
              </w:rPr>
              <w:t>认证注册。</w:t>
            </w: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r>
        <w:drawing>
          <wp:inline distT="0" distB="0" distL="114300" distR="114300">
            <wp:extent cx="904875" cy="129540"/>
            <wp:effectExtent l="0" t="0" r="952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904875" cy="129540"/>
                    </a:xfrm>
                    <a:prstGeom prst="rect">
                      <a:avLst/>
                    </a:prstGeom>
                    <a:noFill/>
                    <a:ln>
                      <a:noFill/>
                    </a:ln>
                  </pic:spPr>
                </pic:pic>
              </a:graphicData>
            </a:graphic>
          </wp:inline>
        </w:drawing>
      </w:r>
    </w:p>
    <w:p>
      <w:pPr>
        <w:snapToGrid w:val="0"/>
        <w:spacing w:before="163" w:beforeLines="50" w:line="320" w:lineRule="exact"/>
        <w:ind w:firstLine="527" w:firstLineChars="250"/>
        <w:rPr>
          <w:b/>
          <w:sz w:val="21"/>
        </w:rPr>
      </w:pPr>
      <w:r>
        <w:rPr>
          <w:rFonts w:hint="eastAsia"/>
          <w:b/>
          <w:sz w:val="21"/>
        </w:rPr>
        <w:t>审核组组员（签名）：</w:t>
      </w:r>
      <w:r>
        <w:drawing>
          <wp:inline distT="0" distB="0" distL="114300" distR="114300">
            <wp:extent cx="904875" cy="224790"/>
            <wp:effectExtent l="0" t="0" r="9525"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904875" cy="224790"/>
                    </a:xfrm>
                    <a:prstGeom prst="rect">
                      <a:avLst/>
                    </a:prstGeom>
                    <a:noFill/>
                    <a:ln>
                      <a:noFill/>
                    </a:ln>
                  </pic:spPr>
                </pic:pic>
              </a:graphicData>
            </a:graphic>
          </wp:inline>
        </w:drawing>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2020.9.18</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r>
        <w:drawing>
          <wp:inline distT="0" distB="0" distL="114300" distR="114300">
            <wp:extent cx="904875" cy="396240"/>
            <wp:effectExtent l="0" t="0" r="9525" b="1016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904875" cy="396240"/>
                    </a:xfrm>
                    <a:prstGeom prst="rect">
                      <a:avLst/>
                    </a:prstGeom>
                    <a:noFill/>
                    <a:ln>
                      <a:noFill/>
                    </a:ln>
                  </pic:spPr>
                </pic:pic>
              </a:graphicData>
            </a:graphic>
          </wp:inline>
        </w:drawing>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5"/>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认证评定负责人：日期：年月日</w:t>
      </w:r>
    </w:p>
    <w:p>
      <w:pPr>
        <w:numPr>
          <w:ilvl w:val="0"/>
          <w:numId w:val="5"/>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批准人（总经理）：日期：年月日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3073"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3074"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5D1587"/>
    <w:multiLevelType w:val="singleLevel"/>
    <w:tmpl w:val="C75D1587"/>
    <w:lvl w:ilvl="0" w:tentative="0">
      <w:start w:val="5"/>
      <w:numFmt w:val="decimal"/>
      <w:suff w:val="space"/>
      <w:lvlText w:val="%1."/>
      <w:lvlJc w:val="left"/>
    </w:lvl>
  </w:abstractNum>
  <w:abstractNum w:abstractNumId="1">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2">
    <w:nsid w:val="3E3348D5"/>
    <w:multiLevelType w:val="singleLevel"/>
    <w:tmpl w:val="3E3348D5"/>
    <w:lvl w:ilvl="0" w:tentative="0">
      <w:start w:val="2"/>
      <w:numFmt w:val="decimal"/>
      <w:suff w:val="nothing"/>
      <w:lvlText w:val="%1、"/>
      <w:lvlJc w:val="left"/>
    </w:lvl>
  </w:abstractNum>
  <w:abstractNum w:abstractNumId="3">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7F77B068"/>
    <w:multiLevelType w:val="singleLevel"/>
    <w:tmpl w:val="7F77B068"/>
    <w:lvl w:ilvl="0" w:tentative="0">
      <w:start w:val="3"/>
      <w:numFmt w:val="decimal"/>
      <w:suff w:val="space"/>
      <w:lvlText w:val="%1."/>
      <w:lvlJc w:val="left"/>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1501047"/>
    <w:rsid w:val="583253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9"/>
    <w:semiHidden/>
    <w:qFormat/>
    <w:uiPriority w:val="99"/>
    <w:rPr>
      <w:sz w:val="18"/>
      <w:szCs w:val="18"/>
    </w:rPr>
  </w:style>
  <w:style w:type="paragraph" w:styleId="4">
    <w:name w:val="footer"/>
    <w:basedOn w:val="1"/>
    <w:link w:val="10"/>
    <w:semiHidden/>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link w:val="3"/>
    <w:semiHidden/>
    <w:qFormat/>
    <w:locked/>
    <w:uiPriority w:val="99"/>
    <w:rPr>
      <w:rFonts w:ascii="Times New Roman" w:hAnsi="Times New Roman" w:eastAsia="宋体" w:cs="Times New Roman"/>
      <w:sz w:val="18"/>
      <w:szCs w:val="18"/>
    </w:rPr>
  </w:style>
  <w:style w:type="character" w:customStyle="1" w:styleId="10">
    <w:name w:val="页脚 Char"/>
    <w:link w:val="4"/>
    <w:semiHidden/>
    <w:qFormat/>
    <w:locked/>
    <w:uiPriority w:val="99"/>
    <w:rPr>
      <w:rFonts w:ascii="Times New Roman" w:hAnsi="Times New Roman" w:eastAsia="宋体" w:cs="Times New Roman"/>
      <w:sz w:val="18"/>
      <w:szCs w:val="18"/>
    </w:rPr>
  </w:style>
  <w:style w:type="character" w:customStyle="1" w:styleId="11">
    <w:name w:val="页眉 Char"/>
    <w:link w:val="5"/>
    <w:locked/>
    <w:uiPriority w:val="0"/>
    <w:rPr>
      <w:sz w:val="18"/>
    </w:rPr>
  </w:style>
  <w:style w:type="character" w:customStyle="1" w:styleId="12">
    <w:name w:val="页眉 Char1"/>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列出段落1"/>
    <w:basedOn w:val="1"/>
    <w:qFormat/>
    <w:uiPriority w:val="34"/>
    <w:pPr>
      <w:ind w:firstLine="420" w:firstLineChars="200"/>
    </w:p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0</TotalTime>
  <ScaleCrop>false</ScaleCrop>
  <LinksUpToDate>false</LinksUpToDate>
  <CharactersWithSpaces>4386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叶子</cp:lastModifiedBy>
  <cp:lastPrinted>2019-04-18T08:15:00Z</cp:lastPrinted>
  <dcterms:modified xsi:type="dcterms:W3CDTF">2020-09-19T01:59:28Z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