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hint="eastAsia" w:ascii="楷体" w:hAnsi="楷体" w:eastAsia="楷体"/>
          <w:b/>
          <w:color w:val="000000" w:themeColor="text1"/>
          <w:sz w:val="28"/>
          <w:szCs w:val="28"/>
          <w:lang w:eastAsia="zh-CN"/>
        </w:rPr>
      </w:pPr>
      <w:r>
        <w:rPr>
          <w:rFonts w:hint="eastAsia" w:ascii="楷体" w:hAnsi="楷体" w:eastAsia="楷体"/>
          <w:color w:val="000000"/>
          <w:sz w:val="28"/>
          <w:szCs w:val="28"/>
        </w:rPr>
        <w:t>合同编号：</w:t>
      </w:r>
      <w:r>
        <w:rPr>
          <w:rFonts w:hint="eastAsia" w:eastAsia="楷体" w:cs="Times New Roman"/>
          <w:b w:val="0"/>
          <w:bCs w:val="0"/>
          <w:color w:val="000000"/>
          <w:sz w:val="21"/>
          <w:szCs w:val="21"/>
          <w:lang w:eastAsia="zh-CN"/>
        </w:rPr>
        <w:t>0485-2020-E</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themeColor="text1"/>
          <w:sz w:val="32"/>
          <w:szCs w:val="32"/>
          <w:u w:val="single"/>
          <w:lang w:eastAsia="zh-CN"/>
        </w:rPr>
        <w:t>任丘市斯迈尔电力器材有限公司</w:t>
      </w: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0" w:name="Q勾选"/>
      <w:r>
        <w:rPr>
          <w:rFonts w:hint="eastAsia" w:ascii="楷体" w:hAnsi="楷体" w:eastAsia="楷体"/>
          <w:b/>
          <w:color w:val="000000" w:themeColor="text1"/>
          <w:sz w:val="32"/>
          <w:szCs w:val="32"/>
        </w:rPr>
        <w:t>□</w:t>
      </w:r>
      <w:bookmarkEnd w:id="0"/>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1" w:name="E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2" w:name="S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50"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2"/>
            <w:vAlign w:val="center"/>
          </w:tcPr>
          <w:p>
            <w:pPr>
              <w:spacing w:line="240" w:lineRule="exact"/>
              <w:jc w:val="center"/>
              <w:rPr>
                <w:b/>
                <w:color w:val="000000" w:themeColor="text1"/>
                <w:sz w:val="20"/>
                <w:szCs w:val="20"/>
              </w:rPr>
            </w:pPr>
            <w:r>
              <w:rPr>
                <w:rFonts w:hint="eastAsia"/>
                <w:b/>
                <w:color w:val="000000"/>
                <w:sz w:val="20"/>
                <w:szCs w:val="20"/>
              </w:rPr>
              <w:t>2020-N1EMS-3022240</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rFonts w:hint="eastAsia" w:eastAsia="宋体"/>
                <w:b/>
                <w:color w:val="000000" w:themeColor="text1"/>
                <w:sz w:val="20"/>
                <w:szCs w:val="20"/>
                <w:lang w:val="en-US" w:eastAsia="zh-CN"/>
              </w:rPr>
            </w:pPr>
            <w:r>
              <w:rPr>
                <w:rFonts w:hint="eastAsia"/>
                <w:b/>
                <w:color w:val="000000" w:themeColor="text1"/>
                <w:sz w:val="20"/>
                <w:szCs w:val="20"/>
                <w:lang w:val="en-US" w:eastAsia="zh-CN"/>
              </w:rPr>
              <w:t>肖新龙</w:t>
            </w:r>
          </w:p>
        </w:tc>
        <w:tc>
          <w:tcPr>
            <w:tcW w:w="992" w:type="dxa"/>
            <w:vAlign w:val="center"/>
          </w:tcPr>
          <w:p>
            <w:pPr>
              <w:spacing w:line="240" w:lineRule="exact"/>
              <w:jc w:val="center"/>
              <w:rPr>
                <w:rFonts w:hint="eastAsia" w:eastAsia="宋体"/>
                <w:b/>
                <w:color w:val="000000" w:themeColor="text1"/>
                <w:sz w:val="20"/>
                <w:szCs w:val="20"/>
                <w:lang w:val="en-US" w:eastAsia="zh-CN"/>
              </w:rPr>
            </w:pPr>
            <w:r>
              <w:rPr>
                <w:rFonts w:hint="eastAsia"/>
                <w:b/>
                <w:color w:val="000000" w:themeColor="text1"/>
                <w:sz w:val="20"/>
                <w:szCs w:val="20"/>
                <w:lang w:val="en-US" w:eastAsia="zh-CN"/>
              </w:rPr>
              <w:t>组员</w:t>
            </w:r>
          </w:p>
        </w:tc>
        <w:tc>
          <w:tcPr>
            <w:tcW w:w="1216" w:type="dxa"/>
            <w:vAlign w:val="center"/>
          </w:tcPr>
          <w:p>
            <w:pPr>
              <w:spacing w:line="240" w:lineRule="exact"/>
              <w:jc w:val="center"/>
              <w:rPr>
                <w:rFonts w:hint="eastAsia" w:eastAsia="宋体"/>
                <w:b/>
                <w:color w:val="000000" w:themeColor="text1"/>
                <w:sz w:val="20"/>
                <w:szCs w:val="20"/>
                <w:lang w:val="en-US" w:eastAsia="zh-CN"/>
              </w:rPr>
            </w:pPr>
            <w:r>
              <w:rPr>
                <w:rFonts w:hint="eastAsia"/>
                <w:b/>
                <w:color w:val="000000" w:themeColor="text1"/>
                <w:sz w:val="20"/>
                <w:szCs w:val="20"/>
                <w:lang w:val="en-US" w:eastAsia="zh-CN"/>
              </w:rPr>
              <w:t>女</w:t>
            </w:r>
          </w:p>
        </w:tc>
        <w:tc>
          <w:tcPr>
            <w:tcW w:w="3478" w:type="dxa"/>
            <w:gridSpan w:val="2"/>
            <w:vAlign w:val="center"/>
          </w:tcPr>
          <w:p>
            <w:pPr>
              <w:spacing w:line="240" w:lineRule="exact"/>
              <w:jc w:val="center"/>
              <w:rPr>
                <w:rFonts w:hint="eastAsia"/>
                <w:b/>
                <w:color w:val="000000"/>
                <w:sz w:val="20"/>
                <w:szCs w:val="20"/>
              </w:rPr>
            </w:pPr>
            <w:r>
              <w:rPr>
                <w:sz w:val="22"/>
                <w:szCs w:val="22"/>
                <w:highlight w:val="none"/>
              </w:rPr>
              <w:t>2020-N0EMS-1232380</w:t>
            </w:r>
          </w:p>
        </w:tc>
        <w:tc>
          <w:tcPr>
            <w:tcW w:w="2333" w:type="dxa"/>
            <w:gridSpan w:val="2"/>
            <w:vAlign w:val="center"/>
          </w:tcPr>
          <w:p>
            <w:pPr>
              <w:spacing w:line="240" w:lineRule="exact"/>
              <w:jc w:val="center"/>
              <w:rPr>
                <w:rFonts w:hint="eastAsia"/>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2"/>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rFonts w:hint="eastAsia" w:eastAsia="宋体"/>
                <w:b/>
                <w:color w:val="000000" w:themeColor="text1"/>
                <w:lang w:eastAsia="zh-CN"/>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b/>
          <w:color w:val="000000"/>
          <w:sz w:val="20"/>
          <w:szCs w:val="20"/>
          <w:lang w:val="de-DE"/>
        </w:rPr>
      </w:pPr>
      <w:r>
        <w:rPr>
          <w:rFonts w:hint="eastAsia" w:ascii="宋体" w:hAnsi="宋体"/>
          <w:b/>
          <w:color w:val="000000" w:themeColor="text1"/>
          <w:sz w:val="26"/>
          <w:szCs w:val="26"/>
        </w:rPr>
        <w:t>审核准则</w:t>
      </w:r>
    </w:p>
    <w:p>
      <w:pPr>
        <w:spacing w:line="300" w:lineRule="auto"/>
        <w:rPr>
          <w:rFonts w:ascii="宋体"/>
          <w:b/>
          <w:color w:val="000000"/>
          <w:sz w:val="20"/>
          <w:szCs w:val="20"/>
          <w:lang w:val="de-DE"/>
        </w:rPr>
      </w:pPr>
      <w:bookmarkStart w:id="3" w:name="E勾选Add1"/>
      <w:r>
        <w:rPr>
          <w:rFonts w:hint="eastAsia" w:ascii="宋体" w:hAnsi="宋体"/>
          <w:b/>
          <w:color w:val="000000"/>
          <w:sz w:val="20"/>
          <w:szCs w:val="20"/>
          <w:lang w:val="de-DE"/>
        </w:rPr>
        <w:t>■</w:t>
      </w:r>
      <w:bookmarkEnd w:id="3"/>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pStyle w:val="10"/>
        <w:numPr>
          <w:ilvl w:val="0"/>
          <w:numId w:val="1"/>
        </w:numPr>
        <w:ind w:left="-142" w:hanging="709" w:firstLineChars="0"/>
        <w:rPr>
          <w:rFonts w:ascii="宋体" w:hAnsi="宋体"/>
          <w:b/>
          <w:color w:val="000000" w:themeColor="text1"/>
          <w:spacing w:val="-10"/>
          <w:sz w:val="20"/>
          <w:szCs w:val="20"/>
        </w:rPr>
      </w:pPr>
      <w:r>
        <w:rPr>
          <w:rFonts w:hint="eastAsia" w:ascii="宋体" w:hAnsi="宋体" w:cs="Times New Roman"/>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757"/>
        <w:gridCol w:w="943"/>
        <w:gridCol w:w="704"/>
        <w:gridCol w:w="565"/>
        <w:gridCol w:w="823"/>
        <w:gridCol w:w="311"/>
        <w:gridCol w:w="507"/>
        <w:gridCol w:w="96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792"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任丘市斯迈尔电力器材有限公司</w:t>
            </w:r>
          </w:p>
        </w:tc>
        <w:tc>
          <w:tcPr>
            <w:tcW w:w="1781"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1384"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注册地址</w:t>
            </w:r>
          </w:p>
        </w:tc>
        <w:tc>
          <w:tcPr>
            <w:tcW w:w="47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rFonts w:hint="eastAsia" w:cs="Times New Roman"/>
                <w:b/>
                <w:color w:val="auto"/>
                <w:sz w:val="20"/>
                <w:szCs w:val="20"/>
                <w:lang w:eastAsia="zh-CN"/>
              </w:rPr>
              <w:t>任丘市梁召镇南芦村</w:t>
            </w:r>
          </w:p>
        </w:tc>
        <w:tc>
          <w:tcPr>
            <w:tcW w:w="818" w:type="dxa"/>
            <w:gridSpan w:val="2"/>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themeColor="text1"/>
                <w:sz w:val="20"/>
                <w:szCs w:val="20"/>
              </w:rPr>
            </w:pP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color w:val="auto"/>
                <w:lang w:val="en-US" w:eastAsia="zh-CN"/>
              </w:rPr>
              <w:t>06255</w:t>
            </w:r>
            <w:r>
              <w:rPr>
                <w:rFonts w:hint="eastAsia"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经营地址</w:t>
            </w:r>
          </w:p>
        </w:tc>
        <w:tc>
          <w:tcPr>
            <w:tcW w:w="47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rFonts w:hint="eastAsia" w:cs="Times New Roman"/>
                <w:b/>
                <w:color w:val="auto"/>
                <w:sz w:val="20"/>
                <w:szCs w:val="20"/>
                <w:lang w:eastAsia="zh-CN"/>
              </w:rPr>
              <w:t>任丘市梁召镇南芦村</w:t>
            </w:r>
          </w:p>
        </w:tc>
        <w:tc>
          <w:tcPr>
            <w:tcW w:w="818"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themeColor="text1"/>
                <w:sz w:val="20"/>
                <w:szCs w:val="20"/>
              </w:rPr>
            </w:pP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color w:val="auto"/>
                <w:lang w:val="en-US" w:eastAsia="zh-CN"/>
              </w:rPr>
              <w:t>06255</w:t>
            </w:r>
            <w:r>
              <w:rPr>
                <w:rFonts w:hint="eastAsia"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联系人</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rFonts w:hint="eastAsia" w:cs="Times New Roman"/>
                <w:color w:val="auto"/>
                <w:szCs w:val="21"/>
                <w:lang w:val="en-US" w:eastAsia="zh-CN"/>
              </w:rPr>
              <w:t>高永超</w:t>
            </w:r>
          </w:p>
        </w:tc>
        <w:tc>
          <w:tcPr>
            <w:tcW w:w="1647"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电话</w:t>
            </w:r>
          </w:p>
        </w:tc>
        <w:tc>
          <w:tcPr>
            <w:tcW w:w="1388"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sz w:val="21"/>
                <w:szCs w:val="21"/>
              </w:rPr>
              <w:t>13463711565</w:t>
            </w:r>
          </w:p>
        </w:tc>
        <w:tc>
          <w:tcPr>
            <w:tcW w:w="818"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bookmarkStart w:id="4" w:name="联系人传真"/>
            <w:bookmarkEnd w:id="4"/>
            <w:r>
              <w:rPr>
                <w:rFonts w:hint="default" w:ascii="Times New Roman" w:hAnsi="Times New Roman" w:cs="Times New Roman"/>
                <w:b/>
                <w:color w:val="auto"/>
                <w:sz w:val="20"/>
                <w:szCs w:val="20"/>
              </w:rPr>
              <w:t>传真</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法人代表</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rFonts w:hint="eastAsia" w:cs="Times New Roman"/>
                <w:color w:val="auto"/>
                <w:szCs w:val="21"/>
                <w:lang w:val="en-US" w:eastAsia="zh-CN"/>
              </w:rPr>
              <w:t>高永超</w:t>
            </w:r>
          </w:p>
        </w:tc>
        <w:tc>
          <w:tcPr>
            <w:tcW w:w="1647"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管理者代表</w:t>
            </w:r>
          </w:p>
        </w:tc>
        <w:tc>
          <w:tcPr>
            <w:tcW w:w="1388"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bookmarkStart w:id="5" w:name="最高管理者"/>
            <w:bookmarkEnd w:id="5"/>
            <w:r>
              <w:rPr>
                <w:rFonts w:hint="eastAsia" w:cs="Times New Roman"/>
                <w:color w:val="auto"/>
                <w:szCs w:val="21"/>
                <w:lang w:val="en-US" w:eastAsia="zh-CN"/>
              </w:rPr>
              <w:t>高慧波</w:t>
            </w:r>
          </w:p>
        </w:tc>
        <w:tc>
          <w:tcPr>
            <w:tcW w:w="818" w:type="dxa"/>
            <w:gridSpan w:val="2"/>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邮箱</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lang w:val="en-US" w:eastAsia="zh-CN" w:bidi="ar-SA"/>
              </w:rPr>
            </w:pPr>
            <w:r>
              <w:rPr>
                <w:sz w:val="21"/>
                <w:szCs w:val="21"/>
              </w:rPr>
              <w:t>1049920902@qq.com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认证范围</w:t>
            </w:r>
          </w:p>
        </w:tc>
        <w:tc>
          <w:tcPr>
            <w:tcW w:w="7957" w:type="dxa"/>
            <w:gridSpan w:val="9"/>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rPr>
            </w:pPr>
            <w:bookmarkStart w:id="6" w:name="审核范围"/>
            <w:r>
              <w:rPr>
                <w:rFonts w:hint="eastAsia" w:ascii="宋体" w:hAnsi="宋体"/>
                <w:sz w:val="21"/>
                <w:szCs w:val="21"/>
                <w:lang w:val="en-US" w:eastAsia="zh-CN"/>
              </w:rPr>
              <w:t>高</w:t>
            </w:r>
            <w:r>
              <w:rPr>
                <w:rFonts w:hint="eastAsia" w:ascii="宋体" w:hAnsi="宋体"/>
                <w:sz w:val="21"/>
                <w:szCs w:val="21"/>
              </w:rPr>
              <w:t>低压成套开关设备和电缆桥架的销售及其所涉及场所的相关环境管理活动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29.12.00</w:t>
            </w:r>
          </w:p>
        </w:tc>
        <w:tc>
          <w:tcPr>
            <w:tcW w:w="1641"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700"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bookmarkStart w:id="7" w:name="体系运行时间"/>
            <w:bookmarkEnd w:id="7"/>
            <w:r>
              <w:rPr>
                <w:rFonts w:hint="eastAsia" w:ascii="宋体"/>
                <w:b/>
                <w:color w:val="000000"/>
                <w:sz w:val="20"/>
                <w:szCs w:val="20"/>
                <w:lang w:val="en-US" w:eastAsia="zh-CN"/>
              </w:rPr>
              <w:t>2020年5月1日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rPr>
              <w:t>4.1</w:t>
            </w:r>
            <w:r>
              <w:rPr>
                <w:rFonts w:hint="eastAsia"/>
                <w:sz w:val="21"/>
                <w:szCs w:val="21"/>
                <w:lang w:val="en-US" w:eastAsia="zh-CN"/>
              </w:rPr>
              <w:t>/4.2/4.3/4.4/5.1/5.2/5.3/6.1/6.2/7.1/9.1.1/9.3/10.1/10.3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5.3/7.2/7.3/7.4/7.5/8.2/9.2/6.1.2/6.1.3/6.2/8.1/9.1.2/10.2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9919"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1536"/>
        <w:gridCol w:w="134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服务名称</w:t>
            </w:r>
          </w:p>
        </w:tc>
        <w:tc>
          <w:tcPr>
            <w:tcW w:w="15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服务类型</w:t>
            </w:r>
          </w:p>
        </w:tc>
        <w:tc>
          <w:tcPr>
            <w:tcW w:w="134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sz w:val="21"/>
                <w:szCs w:val="21"/>
                <w:lang w:val="en-US" w:eastAsia="zh-CN"/>
              </w:rPr>
              <w:t>高</w:t>
            </w:r>
            <w:r>
              <w:rPr>
                <w:rFonts w:hint="eastAsia" w:ascii="宋体" w:hAnsi="宋体"/>
                <w:sz w:val="21"/>
                <w:szCs w:val="21"/>
              </w:rPr>
              <w:t>低压成套开关设备和电缆桥架的销售</w:t>
            </w:r>
          </w:p>
        </w:tc>
        <w:tc>
          <w:tcPr>
            <w:tcW w:w="1536"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销售</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35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bookmarkStart w:id="8"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8"/>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r>
        <w:rPr>
          <w:rFonts w:hint="eastAsia"/>
          <w:b/>
          <w:color w:val="000000" w:themeColor="text1"/>
          <w:spacing w:val="-10"/>
          <w:szCs w:val="21"/>
          <w:lang w:val="en-US" w:eastAsia="zh-CN"/>
        </w:rPr>
        <w:t>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、内部员工等。相关方对企业的要求有：遵守国家的现行法律法规、保持有效的资质、</w:t>
            </w:r>
            <w:r>
              <w:rPr>
                <w:rFonts w:hint="eastAsia"/>
                <w:lang w:val="en-US" w:eastAsia="zh-CN"/>
              </w:rPr>
              <w:t>销售</w:t>
            </w:r>
            <w:r>
              <w:rPr>
                <w:rFonts w:hint="eastAsia"/>
              </w:rPr>
              <w:t>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80" w:lineRule="exact"/>
              <w:textAlignment w:val="auto"/>
            </w:pPr>
            <w:r>
              <w:t>1.</w:t>
            </w:r>
            <w:r>
              <w:rPr>
                <w:rFonts w:hint="eastAsia"/>
                <w:lang w:val="en-US" w:eastAsia="zh-CN"/>
              </w:rPr>
              <w:t xml:space="preserve"> </w:t>
            </w:r>
            <w:r>
              <w:rPr>
                <w:rFonts w:hint="eastAsia" w:cs="宋体"/>
              </w:rPr>
              <w:t>管理方针：减少污染、节能降耗</w:t>
            </w:r>
            <w:r>
              <w:rPr>
                <w:rFonts w:hint="eastAsia" w:cs="宋体"/>
                <w:lang w:eastAsia="zh-CN"/>
              </w:rPr>
              <w:t>、</w:t>
            </w:r>
            <w:r>
              <w:rPr>
                <w:rFonts w:hint="eastAsia" w:cs="宋体"/>
              </w:rPr>
              <w:t>遵纪守法、持续改进</w:t>
            </w:r>
          </w:p>
          <w:p>
            <w:pPr>
              <w:keepNext w:val="0"/>
              <w:keepLines w:val="0"/>
              <w:pageBreakBefore w:val="0"/>
              <w:kinsoku/>
              <w:wordWrap/>
              <w:overflowPunct/>
              <w:topLinePunct w:val="0"/>
              <w:autoSpaceDE/>
              <w:autoSpaceDN/>
              <w:bidi w:val="0"/>
              <w:adjustRightInd/>
              <w:snapToGrid/>
              <w:spacing w:line="38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pacing w:val="-12"/>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Cs w:val="21"/>
              </w:rPr>
            </w:pPr>
            <w:r>
              <w:rPr>
                <w:rFonts w:hint="eastAsia"/>
                <w:b/>
                <w:color w:val="000000" w:themeColor="text1"/>
                <w:szCs w:val="21"/>
                <w:lang w:val="en-US" w:eastAsia="zh-CN"/>
              </w:rPr>
              <w:t>5</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p>
            <w:pPr>
              <w:keepNext w:val="0"/>
              <w:keepLines w:val="0"/>
              <w:pageBreakBefore w:val="0"/>
              <w:tabs>
                <w:tab w:val="left" w:pos="0"/>
              </w:tabs>
              <w:kinsoku/>
              <w:wordWrap/>
              <w:overflowPunct/>
              <w:topLinePunct w:val="0"/>
              <w:autoSpaceDE/>
              <w:autoSpaceDN/>
              <w:bidi w:val="0"/>
              <w:adjustRightInd/>
              <w:snapToGrid/>
              <w:spacing w:line="380" w:lineRule="exact"/>
              <w:textAlignment w:val="auto"/>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cs="宋体"/>
                <w:lang w:eastAsia="zh-CN"/>
              </w:rPr>
            </w:pPr>
            <w:r>
              <w:rPr>
                <w:rFonts w:hint="eastAsia" w:ascii="Times New Roman" w:hAnsi="Times New Roman" w:cs="宋体"/>
              </w:rPr>
              <w:t>公司环境目标</w:t>
            </w:r>
            <w:r>
              <w:rPr>
                <w:rFonts w:hint="eastAsia" w:cs="宋体"/>
                <w:lang w:eastAsia="zh-CN"/>
              </w:rPr>
              <w:t>：固体废物100%分类</w:t>
            </w:r>
            <w:r>
              <w:rPr>
                <w:rFonts w:hint="eastAsia" w:cs="宋体"/>
                <w:lang w:val="en-US" w:eastAsia="zh-CN"/>
              </w:rPr>
              <w:t>处置</w:t>
            </w:r>
            <w:r>
              <w:rPr>
                <w:rFonts w:hint="eastAsia" w:cs="宋体"/>
                <w:lang w:eastAsia="zh-CN"/>
              </w:rPr>
              <w:t>；杜绝火灾事故发生</w:t>
            </w:r>
            <w:r>
              <w:rPr>
                <w:rFonts w:hint="eastAsia" w:ascii="Times New Roman" w:hAnsi="Times New Roman" w:cs="宋体"/>
              </w:rPr>
              <w:t>。</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w:t>
            </w:r>
            <w:r>
              <w:rPr>
                <w:rFonts w:hint="eastAsia" w:cs="宋体"/>
                <w:lang w:val="en-US" w:eastAsia="zh-CN"/>
              </w:rPr>
              <w:t>20</w:t>
            </w:r>
            <w:r>
              <w:rPr>
                <w:rFonts w:hint="eastAsia" w:ascii="Times New Roman" w:hAnsi="Times New Roman" w:cs="宋体"/>
                <w:lang w:val="en-US" w:eastAsia="zh-CN"/>
              </w:rPr>
              <w:t>年</w:t>
            </w:r>
            <w:r>
              <w:rPr>
                <w:rFonts w:hint="eastAsia" w:cs="宋体"/>
                <w:lang w:val="en-US" w:eastAsia="zh-CN"/>
              </w:rPr>
              <w:t>3</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上，每个人均可查阅。外来文件电子版本在电脑上，每个人均可查阅，产品技术标准打印一套，放于文件柜内该公司人员均可查阅，外来人员查阅需经过总经理批准。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15</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施：电脑、电话、一体机、汽车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bookmarkStart w:id="9" w:name="注册地址"/>
            <w:r>
              <w:rPr>
                <w:sz w:val="21"/>
                <w:szCs w:val="21"/>
              </w:rPr>
              <w:t>任丘市梁召镇南芦村</w:t>
            </w:r>
            <w:bookmarkEnd w:id="9"/>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100平米、库房200平</w:t>
            </w:r>
            <w:r>
              <w:rPr>
                <w:rFonts w:hint="eastAsia"/>
                <w:sz w:val="21"/>
                <w:szCs w:val="21"/>
                <w:lang w:val="en-US" w:eastAsia="zh-CN"/>
              </w:rPr>
              <w:t>米，</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公司对法律法规及其他要求进行了获取，包括质量法、合同法、环境保护法、劳动法、消防法、环境空气质量标准、固体废弃物环境防治法、仓库防火安全管理规则、GB3095-2012《环境空气质量标准》、</w:t>
            </w:r>
            <w:r>
              <w:rPr>
                <w:rFonts w:hint="eastAsia"/>
                <w:sz w:val="21"/>
                <w:szCs w:val="21"/>
                <w:u w:val="none"/>
                <w:lang w:val="en-US" w:eastAsia="zh-CN"/>
              </w:rPr>
              <w:t>《</w:t>
            </w:r>
            <w:r>
              <w:rPr>
                <w:rFonts w:hint="eastAsia" w:ascii="宋体" w:hAnsi="宋体" w:eastAsia="宋体"/>
                <w:sz w:val="21"/>
                <w:szCs w:val="21"/>
                <w:u w:val="none"/>
              </w:rPr>
              <w:t>社会生活环境噪声排放标准</w:t>
            </w:r>
            <w:r>
              <w:rPr>
                <w:rFonts w:hint="eastAsia" w:ascii="宋体" w:hAnsi="宋体" w:eastAsia="宋体"/>
                <w:sz w:val="21"/>
                <w:szCs w:val="21"/>
                <w:u w:val="none"/>
                <w:lang w:eastAsia="zh-CN"/>
              </w:rPr>
              <w:t>》</w:t>
            </w:r>
            <w:r>
              <w:rPr>
                <w:rFonts w:hint="eastAsia" w:ascii="宋体" w:hAnsi="宋体"/>
                <w:sz w:val="21"/>
                <w:szCs w:val="21"/>
                <w:u w:val="none"/>
                <w:lang w:eastAsia="zh-CN"/>
              </w:rPr>
              <w:t>、</w:t>
            </w:r>
            <w:r>
              <w:rPr>
                <w:rFonts w:hint="eastAsia"/>
                <w:sz w:val="21"/>
                <w:szCs w:val="21"/>
              </w:rPr>
              <w:t>GB/T24001-2016《环境管理体系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kinsoku/>
              <w:wordWrap/>
              <w:overflowPunct/>
              <w:topLinePunct w:val="0"/>
              <w:autoSpaceDE/>
              <w:autoSpaceDN/>
              <w:bidi w:val="0"/>
              <w:adjustRightInd/>
              <w:snapToGrid/>
              <w:spacing w:line="380" w:lineRule="exact"/>
              <w:ind w:left="1"/>
              <w:textAlignment w:val="auto"/>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80" w:lineRule="exact"/>
              <w:textAlignment w:val="auto"/>
            </w:pPr>
            <w:r>
              <w:t>1.</w:t>
            </w:r>
            <w:r>
              <w:rPr>
                <w:rFonts w:hint="eastAsia" w:cs="宋体"/>
              </w:rPr>
              <w:t>管理方针：减少污染、节能降耗</w:t>
            </w:r>
            <w:r>
              <w:rPr>
                <w:rFonts w:hint="eastAsia" w:cs="宋体"/>
                <w:lang w:eastAsia="zh-CN"/>
              </w:rPr>
              <w:t>、</w:t>
            </w:r>
            <w:r>
              <w:rPr>
                <w:rFonts w:hint="eastAsia" w:cs="宋体"/>
              </w:rPr>
              <w:t>遵纪守法、持续改进</w:t>
            </w:r>
          </w:p>
          <w:p>
            <w:pPr>
              <w:keepNext w:val="0"/>
              <w:keepLines w:val="0"/>
              <w:pageBreakBefore w:val="0"/>
              <w:kinsoku/>
              <w:wordWrap/>
              <w:overflowPunct/>
              <w:topLinePunct w:val="0"/>
              <w:autoSpaceDE/>
              <w:autoSpaceDN/>
              <w:bidi w:val="0"/>
              <w:adjustRightInd/>
              <w:snapToGrid/>
              <w:spacing w:line="38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8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查看办公区域干净整洁，</w:t>
            </w:r>
            <w:r>
              <w:rPr>
                <w:rFonts w:hint="eastAsia"/>
                <w:sz w:val="21"/>
                <w:szCs w:val="21"/>
                <w:lang w:val="en-US" w:eastAsia="zh-CN"/>
              </w:rPr>
              <w:t>配有灭火器，但未</w:t>
            </w:r>
            <w:r>
              <w:rPr>
                <w:rFonts w:hint="eastAsia"/>
                <w:sz w:val="21"/>
                <w:szCs w:val="21"/>
              </w:rPr>
              <w:t>配置</w:t>
            </w:r>
            <w:r>
              <w:rPr>
                <w:rFonts w:hint="eastAsia"/>
                <w:sz w:val="21"/>
                <w:szCs w:val="21"/>
                <w:lang w:val="en-US" w:eastAsia="zh-CN"/>
              </w:rPr>
              <w:t>固废分类处置装置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4"/>
                <w:sz w:val="20"/>
                <w:szCs w:val="20"/>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w:t>
            </w:r>
            <w:r>
              <w:rPr>
                <w:rFonts w:hint="eastAsia"/>
                <w:sz w:val="21"/>
                <w:szCs w:val="21"/>
                <w:lang w:val="en-US" w:eastAsia="zh-CN"/>
              </w:rPr>
              <w:t>办公区域、库房</w:t>
            </w:r>
            <w:r>
              <w:rPr>
                <w:rFonts w:hint="eastAsia"/>
                <w:sz w:val="21"/>
                <w:szCs w:val="21"/>
              </w:rPr>
              <w:t>配置灭火器等消防设施</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 对特种设备的维护，检定; </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b/>
                <w:color w:val="000000" w:themeColor="text1"/>
                <w:sz w:val="20"/>
                <w:szCs w:val="20"/>
                <w:lang w:val="en-US" w:eastAsia="zh-CN"/>
              </w:rPr>
            </w:pPr>
            <w:r>
              <w:rPr>
                <w:rFonts w:hint="eastAsia"/>
                <w:b/>
                <w:color w:val="000000" w:themeColor="text1"/>
                <w:sz w:val="20"/>
                <w:szCs w:val="20"/>
                <w:lang w:val="en-US" w:eastAsia="zh-CN"/>
              </w:rPr>
              <w:t>7</w:t>
            </w:r>
            <w:r>
              <w:rPr>
                <w:rFonts w:hint="eastAsia"/>
                <w:b/>
                <w:color w:val="000000" w:themeColor="text1"/>
                <w:sz w:val="20"/>
                <w:szCs w:val="20"/>
              </w:rPr>
              <w:t xml:space="preserve">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8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季度</w:t>
            </w:r>
            <w:r>
              <w:rPr>
                <w:rFonts w:hint="eastAsia"/>
                <w:sz w:val="21"/>
                <w:szCs w:val="21"/>
              </w:rPr>
              <w:t>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8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20年7月20-21日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8</w:t>
            </w:r>
            <w:r>
              <w:rPr>
                <w:rFonts w:hint="eastAsia" w:cs="宋体"/>
              </w:rPr>
              <w:t>月</w:t>
            </w:r>
            <w:r>
              <w:rPr>
                <w:rFonts w:hint="eastAsia"/>
                <w:lang w:val="en-US" w:eastAsia="zh-CN"/>
              </w:rPr>
              <w:t>1</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val="0"/>
                <w:bCs/>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6"/>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restart"/>
            <w:vAlign w:val="center"/>
          </w:tcPr>
          <w:p>
            <w:pPr>
              <w:keepNext w:val="0"/>
              <w:keepLines w:val="0"/>
              <w:pageBreakBefore w:val="0"/>
              <w:kinsoku/>
              <w:wordWrap/>
              <w:overflowPunct/>
              <w:topLinePunct w:val="0"/>
              <w:autoSpaceDE/>
              <w:autoSpaceDN/>
              <w:bidi w:val="0"/>
              <w:adjustRightInd/>
              <w:snapToGrid/>
              <w:spacing w:line="380" w:lineRule="exact"/>
              <w:ind w:lef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已完成</w:t>
            </w:r>
            <w:r>
              <w:rPr>
                <w:rFonts w:hint="eastAsia"/>
                <w:sz w:val="21"/>
                <w:szCs w:val="21"/>
              </w:rPr>
              <w:t>。</w:t>
            </w:r>
            <w:r>
              <w:rPr>
                <w:rFonts w:hint="eastAsia"/>
                <w:sz w:val="21"/>
                <w:szCs w:val="21"/>
                <w:lang w:eastAsia="zh-CN"/>
              </w:rPr>
              <w:t>纠正措施尚可。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7"/>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0"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办公室8.1</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191" w:leftChars="-337" w:hanging="517" w:hangingChars="271"/>
        <w:rPr>
          <w:b/>
          <w:color w:val="000000" w:themeColor="text1"/>
          <w:spacing w:val="-10"/>
          <w:szCs w:val="21"/>
        </w:rPr>
      </w:pPr>
    </w:p>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任丘市斯迈尔电力器材有限公司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w:t>
            </w:r>
          </w:p>
          <w:p>
            <w:pPr>
              <w:rPr>
                <w:b/>
                <w:color w:val="000000" w:themeColor="text1"/>
              </w:rPr>
            </w:pPr>
            <w:r>
              <w:rPr>
                <w:rFonts w:hint="eastAsia" w:ascii="宋体" w:hAnsi="宋体"/>
                <w:sz w:val="21"/>
                <w:szCs w:val="21"/>
                <w:lang w:val="en-US" w:eastAsia="zh-CN"/>
              </w:rPr>
              <w:t>高</w:t>
            </w:r>
            <w:r>
              <w:rPr>
                <w:rFonts w:hint="eastAsia" w:ascii="宋体" w:hAnsi="宋体"/>
                <w:sz w:val="21"/>
                <w:szCs w:val="21"/>
              </w:rPr>
              <w:t>低压成套开关设备和电缆桥架的销售及其所涉及场所的相关环境管理活动</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cs="Times New Roman"/>
          <w:b/>
          <w:color w:val="000000" w:themeColor="text1"/>
          <w:sz w:val="26"/>
          <w:szCs w:val="26"/>
        </w:rPr>
        <w:t>任何影响审核方案的重要事项</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2336" behindDoc="0" locked="0" layoutInCell="1" allowOverlap="1">
            <wp:simplePos x="0" y="0"/>
            <wp:positionH relativeFrom="column">
              <wp:posOffset>1473200</wp:posOffset>
            </wp:positionH>
            <wp:positionV relativeFrom="paragraph">
              <wp:posOffset>127635</wp:posOffset>
            </wp:positionV>
            <wp:extent cx="1195070" cy="575310"/>
            <wp:effectExtent l="0" t="0" r="0" b="9525"/>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195070" cy="57531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3" w:leftChars="-32" w:hanging="54" w:hangingChars="26"/>
        <w:rPr>
          <w:b/>
          <w:color w:val="000000" w:themeColor="text1"/>
        </w:rPr>
      </w:pPr>
      <w:r>
        <w:drawing>
          <wp:anchor distT="0" distB="0" distL="114300" distR="114300" simplePos="0" relativeHeight="251668480" behindDoc="0" locked="0" layoutInCell="1" allowOverlap="1">
            <wp:simplePos x="0" y="0"/>
            <wp:positionH relativeFrom="column">
              <wp:posOffset>1499235</wp:posOffset>
            </wp:positionH>
            <wp:positionV relativeFrom="paragraph">
              <wp:posOffset>299085</wp:posOffset>
            </wp:positionV>
            <wp:extent cx="913130" cy="610870"/>
            <wp:effectExtent l="0" t="0" r="1270" b="1143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913130" cy="610870"/>
                    </a:xfrm>
                    <a:prstGeom prst="rect">
                      <a:avLst/>
                    </a:prstGeom>
                    <a:noFill/>
                    <a:ln>
                      <a:noFill/>
                    </a:ln>
                  </pic:spPr>
                </pic:pic>
              </a:graphicData>
            </a:graphic>
          </wp:anchor>
        </w:drawing>
      </w: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p>
    <w:p>
      <w:pPr>
        <w:snapToGrid w:val="0"/>
        <w:spacing w:line="360" w:lineRule="auto"/>
        <w:ind w:firstLine="4554" w:firstLineChars="21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eastAsia"/>
          <w:b/>
          <w:color w:val="000000" w:themeColor="text1"/>
          <w:szCs w:val="21"/>
        </w:rPr>
        <w:drawing>
          <wp:anchor distT="0" distB="0" distL="114300" distR="114300" simplePos="0" relativeHeight="251663360" behindDoc="0" locked="0" layoutInCell="1" allowOverlap="1">
            <wp:simplePos x="0" y="0"/>
            <wp:positionH relativeFrom="column">
              <wp:posOffset>582930</wp:posOffset>
            </wp:positionH>
            <wp:positionV relativeFrom="paragraph">
              <wp:posOffset>322580</wp:posOffset>
            </wp:positionV>
            <wp:extent cx="1272540" cy="612775"/>
            <wp:effectExtent l="0" t="0" r="0" b="1016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272540" cy="612775"/>
                    </a:xfrm>
                    <a:prstGeom prst="rect">
                      <a:avLst/>
                    </a:prstGeom>
                  </pic:spPr>
                </pic:pic>
              </a:graphicData>
            </a:graphic>
          </wp:anchor>
        </w:drawing>
      </w:r>
    </w:p>
    <w:p>
      <w:pPr>
        <w:spacing w:before="312" w:beforeLines="100" w:after="156" w:afterLines="50"/>
        <w:rPr>
          <w:rFonts w:hint="eastAsia"/>
          <w:b/>
          <w:color w:val="000000" w:themeColor="text1"/>
        </w:rPr>
      </w:pPr>
      <w:r>
        <w:rPr>
          <w:rFonts w:hint="eastAsia"/>
          <w:b/>
          <w:color w:val="000000" w:themeColor="text1"/>
          <w:szCs w:val="21"/>
        </w:rPr>
        <w:t xml:space="preserve">组长签字:                               日期:  </w:t>
      </w:r>
      <w:r>
        <w:rPr>
          <w:rFonts w:hint="eastAsia"/>
          <w:b/>
          <w:color w:val="000000" w:themeColor="text1"/>
          <w:szCs w:val="21"/>
          <w:lang w:val="en-US" w:eastAsia="zh-CN"/>
        </w:rPr>
        <w:t>20</w:t>
      </w:r>
      <w:bookmarkStart w:id="11" w:name="_GoBack"/>
      <w:bookmarkEnd w:id="11"/>
      <w:r>
        <w:rPr>
          <w:rFonts w:hint="eastAsia"/>
          <w:b/>
          <w:color w:val="000000" w:themeColor="text1"/>
          <w:szCs w:val="21"/>
          <w:lang w:val="en-US" w:eastAsia="zh-CN"/>
        </w:rPr>
        <w:t>20</w:t>
      </w:r>
      <w:r>
        <w:rPr>
          <w:rFonts w:hint="eastAsia"/>
          <w:b/>
          <w:color w:val="000000" w:themeColor="text1"/>
          <w:szCs w:val="21"/>
        </w:rPr>
        <w:t>年</w:t>
      </w:r>
      <w:r>
        <w:rPr>
          <w:rFonts w:hint="eastAsia"/>
          <w:b/>
          <w:color w:val="000000" w:themeColor="text1"/>
          <w:szCs w:val="21"/>
          <w:lang w:val="en-US" w:eastAsia="zh-CN"/>
        </w:rPr>
        <w:t>10</w:t>
      </w:r>
      <w:r>
        <w:rPr>
          <w:rFonts w:hint="eastAsia"/>
          <w:b/>
          <w:color w:val="000000" w:themeColor="text1"/>
          <w:szCs w:val="21"/>
        </w:rPr>
        <w:t>月</w:t>
      </w:r>
      <w:r>
        <w:rPr>
          <w:rFonts w:hint="eastAsia"/>
          <w:b/>
          <w:color w:val="000000" w:themeColor="text1"/>
          <w:szCs w:val="21"/>
          <w:lang w:val="en-US" w:eastAsia="zh-CN"/>
        </w:rPr>
        <w:t>11</w:t>
      </w:r>
      <w:r>
        <w:rPr>
          <w:rFonts w:hint="eastAsia"/>
          <w:b/>
          <w:color w:val="000000" w:themeColor="text1"/>
          <w:szCs w:val="21"/>
        </w:rPr>
        <w:t>日</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8"/>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8"/>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195" w:leftChars="-33" w:hanging="264" w:hangingChars="101"/>
        <w:rPr>
          <w:rFonts w:hint="eastAsia"/>
          <w:b/>
          <w:color w:val="000000" w:themeColor="text1"/>
          <w:sz w:val="26"/>
          <w:szCs w:val="26"/>
        </w:rPr>
      </w:pPr>
    </w:p>
    <w:p>
      <w:pPr>
        <w:snapToGrid w:val="0"/>
        <w:spacing w:line="360" w:lineRule="auto"/>
        <w:ind w:left="195" w:leftChars="-33" w:hanging="264" w:hangingChars="101"/>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hint="eastAsia" w:ascii="宋体" w:hAnsi="宋体"/>
          <w:b/>
          <w:color w:val="000000" w:themeColor="text1"/>
          <w:sz w:val="26"/>
          <w:szCs w:val="26"/>
        </w:rPr>
      </w:pPr>
    </w:p>
    <w:p>
      <w:pPr>
        <w:snapToGrid w:val="0"/>
        <w:spacing w:before="156" w:beforeLines="50" w:after="156" w:afterLines="50" w:line="240" w:lineRule="exact"/>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hint="eastAsia" w:ascii="宋体" w:hAnsi="宋体"/>
          <w:b/>
          <w:color w:val="000000" w:themeColor="text1"/>
          <w:sz w:val="26"/>
          <w:szCs w:val="2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1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1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FB11"/>
    <w:multiLevelType w:val="singleLevel"/>
    <w:tmpl w:val="912EFB11"/>
    <w:lvl w:ilvl="0" w:tentative="0">
      <w:start w:val="4"/>
      <w:numFmt w:val="decimal"/>
      <w:lvlText w:val="%1."/>
      <w:lvlJc w:val="left"/>
      <w:pPr>
        <w:tabs>
          <w:tab w:val="left" w:pos="312"/>
        </w:tabs>
      </w:pPr>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04016EC4"/>
    <w:multiLevelType w:val="singleLevel"/>
    <w:tmpl w:val="04016EC4"/>
    <w:lvl w:ilvl="0" w:tentative="0">
      <w:start w:val="2"/>
      <w:numFmt w:val="decimal"/>
      <w:lvlText w:val="%1."/>
      <w:lvlJc w:val="left"/>
      <w:pPr>
        <w:tabs>
          <w:tab w:val="left" w:pos="312"/>
        </w:tabs>
      </w:p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73FC62"/>
    <w:multiLevelType w:val="singleLevel"/>
    <w:tmpl w:val="5F73FC62"/>
    <w:lvl w:ilvl="0" w:tentative="0">
      <w:start w:val="9"/>
      <w:numFmt w:val="decimal"/>
      <w:suff w:val="space"/>
      <w:lvlText w:val="%1."/>
      <w:lvlJc w:val="left"/>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7">
    <w:nsid w:val="7BC294AD"/>
    <w:multiLevelType w:val="singleLevel"/>
    <w:tmpl w:val="7BC294AD"/>
    <w:lvl w:ilvl="0" w:tentative="0">
      <w:start w:val="5"/>
      <w:numFmt w:val="decimal"/>
      <w:suff w:val="space"/>
      <w:lvlText w:val="%1."/>
      <w:lvlJc w:val="left"/>
    </w:lvl>
  </w:abstractNum>
  <w:num w:numId="1">
    <w:abstractNumId w:val="3"/>
  </w:num>
  <w:num w:numId="2">
    <w:abstractNumId w:val="1"/>
  </w:num>
  <w:num w:numId="3">
    <w:abstractNumId w:val="4"/>
  </w:num>
  <w:num w:numId="4">
    <w:abstractNumId w:val="2"/>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9A0372"/>
    <w:rsid w:val="46DD68AB"/>
    <w:rsid w:val="60E54F6B"/>
    <w:rsid w:val="647437DC"/>
    <w:rsid w:val="79A5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2020-10-09T05:55:58Z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