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88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涉及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68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安全环保部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黎财荣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陪同人员：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副主任毛玉辉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抽样计划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88" w:type="dxa"/>
            <w:vAlign w:val="center"/>
          </w:tcPr>
          <w:p>
            <w:pPr>
              <w:spacing w:before="120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伍光华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2020年9月16日</w:t>
            </w:r>
          </w:p>
        </w:tc>
        <w:tc>
          <w:tcPr>
            <w:tcW w:w="90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8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EO：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6.1.2 环境因素/危险源辨识与评价、6.1.3 合规义务、6.1.4 措施的策划、9.1.2 合规性评价</w:t>
            </w:r>
          </w:p>
        </w:tc>
        <w:tc>
          <w:tcPr>
            <w:tcW w:w="90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</w:t>
            </w:r>
            <w:r>
              <w:rPr>
                <w:rFonts w:hint="eastAsia"/>
                <w:szCs w:val="22"/>
                <w:lang w:val="en-US" w:eastAsia="zh-CN"/>
              </w:rPr>
              <w:t>境因素辨识与评价</w:t>
            </w:r>
          </w:p>
          <w:p>
            <w:pPr>
              <w:spacing w:line="28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措施的策划</w:t>
            </w:r>
          </w:p>
          <w:p>
            <w:pPr>
              <w:pStyle w:val="2"/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E6.1.2 </w:t>
            </w:r>
          </w:p>
          <w:p>
            <w:pPr>
              <w:spacing w:line="280" w:lineRule="exact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E6.1.4</w:t>
            </w:r>
          </w:p>
        </w:tc>
        <w:tc>
          <w:tcPr>
            <w:tcW w:w="10688" w:type="dxa"/>
            <w:vAlign w:val="top"/>
          </w:tcPr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提供《宜春钽铌矿有限公司环境因素调查识别、评价表(污染物类)》表，识别了</w:t>
            </w:r>
            <w:r>
              <w:rPr>
                <w:rFonts w:hint="eastAsia"/>
              </w:rPr>
              <w:t>机关办公室、采矿作业管理、运矿作业管理、选矿作业管理、机械维修</w:t>
            </w:r>
            <w:r>
              <w:rPr>
                <w:rFonts w:hint="eastAsia"/>
                <w:color w:val="auto"/>
              </w:rPr>
              <w:t>作业、剪切开料过程、冲压作业、折弯作业、焊接、打磨作业、化学实验管理、机械备、行车运行、尾矿库</w:t>
            </w:r>
            <w:r>
              <w:rPr>
                <w:rFonts w:hint="eastAsia"/>
                <w:color w:val="auto"/>
                <w:lang w:val="en-US" w:eastAsia="zh-CN"/>
              </w:rPr>
              <w:t>等部门的环境因素，用多因子评价法判定是否为重要环境因素，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见《重要环境因素清单》，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对重要环境因素采取的措施如下：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电机车机械设备换油时，废油的产生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ab/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联系处置单位处理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机械备、行车运行机油的泄漏、排放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ab/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联系处置单位处理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机械维修作业产生废油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       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联系处置单位处理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化学分析废液排放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            废液放到专用玻璃瓶，集中存放，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化学试剂瓶的丢弃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            集中存放，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收集处理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联系处置单位处理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尾矿泄露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                    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制定了专项应急预案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尾砂回采粉尘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                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有防尘措施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配药过程产生的酸性气体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        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配置酸雾处理设备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1297305" cy="923925"/>
                  <wp:effectExtent l="0" t="0" r="17145" b="9525"/>
                  <wp:docPr id="15" name="图片 15" descr="微信图片_202009251108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0092511081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061" r="9912" b="-1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1798955" cy="941070"/>
                  <wp:effectExtent l="0" t="0" r="11430" b="11430"/>
                  <wp:docPr id="16" name="图片 16" descr="微信图片_202009251108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0092511081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11666" t="3066" r="14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1997075" cy="987425"/>
                  <wp:effectExtent l="0" t="0" r="3175" b="3175"/>
                  <wp:docPr id="17" name="图片 17" descr="微信图片_202009251108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微信图片_2020092511081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1845" b="58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1258570" cy="944245"/>
                  <wp:effectExtent l="0" t="0" r="8255" b="17780"/>
                  <wp:docPr id="18" name="图片 18" descr="微信图片_202009251108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微信图片_2020092511081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258570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1133475" cy="850265"/>
                  <wp:effectExtent l="0" t="0" r="6985" b="9525"/>
                  <wp:docPr id="19" name="图片 19" descr="微信图片_202009251108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微信图片_2020092511081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334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1205865" cy="904240"/>
                  <wp:effectExtent l="0" t="0" r="10160" b="13335"/>
                  <wp:docPr id="20" name="图片 20" descr="微信图片_202009251108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0092511081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05865" cy="9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1605915" cy="984885"/>
                  <wp:effectExtent l="0" t="0" r="13335" b="5715"/>
                  <wp:docPr id="21" name="图片 21" descr="微信图片_2020092511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微信图片_202009251108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298" b="10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drawing>
                <wp:inline distT="0" distB="0" distL="114300" distR="114300">
                  <wp:extent cx="1416050" cy="914400"/>
                  <wp:effectExtent l="0" t="0" r="12700" b="0"/>
                  <wp:docPr id="22" name="图片 22" descr="微信图片_202009251108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图片_2020092511081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0422" b="2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过程正在实施中，未见不符合。</w:t>
            </w:r>
          </w:p>
        </w:tc>
        <w:tc>
          <w:tcPr>
            <w:tcW w:w="90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危险源辨识与评价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O6.1.2 </w:t>
            </w:r>
          </w:p>
          <w:p>
            <w:pPr>
              <w:spacing w:line="280" w:lineRule="exact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O6.1.4</w:t>
            </w:r>
          </w:p>
        </w:tc>
        <w:tc>
          <w:tcPr>
            <w:tcW w:w="1068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提供《关键设备设备设施与主要作业过程危险源辨识与风险评价记录表》，识别了</w:t>
            </w:r>
            <w:r>
              <w:rPr>
                <w:rFonts w:hint="eastAsia"/>
              </w:rPr>
              <w:t>机关办公室、采矿作业管理、运矿作业管理、选矿作业管理、机械维修作业、剪切开料过</w:t>
            </w:r>
            <w:r>
              <w:rPr>
                <w:rFonts w:hint="eastAsia"/>
                <w:color w:val="auto"/>
              </w:rPr>
              <w:t>程、冲压作业、折弯作业、焊接、打磨作业、化学实验管理、机械备、行车运行、尾矿库</w:t>
            </w:r>
            <w:r>
              <w:rPr>
                <w:rFonts w:hint="eastAsia"/>
                <w:color w:val="auto"/>
                <w:lang w:val="en-US" w:eastAsia="zh-CN"/>
              </w:rPr>
              <w:t>等部门的危险源、有害因素，用LECD法，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对识别的危险源进行评价，不可接受风险：火灾、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爆炸、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疫情、坍塌、物体坠落、物体打击、溺水、噪声、粉尘伤害、机械伤害、意外伤害等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，评价基本准确。明确了控制措施计划，通过具体的措施进行有效控制：目标、管理方案、管理制度运行控制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56970" cy="1543685"/>
                  <wp:effectExtent l="0" t="0" r="5080" b="18415"/>
                  <wp:docPr id="2" name="图片 2" descr="微信图片_202009160700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0916070054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95705" cy="1597025"/>
                  <wp:effectExtent l="0" t="0" r="4445" b="3175"/>
                  <wp:docPr id="3" name="图片 3" descr="微信图片_202009160700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0091607005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64590" cy="1556385"/>
                  <wp:effectExtent l="0" t="0" r="16510" b="5715"/>
                  <wp:docPr id="4" name="图片 4" descr="微信图片_202009160700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0091607005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62050" cy="1551305"/>
                  <wp:effectExtent l="0" t="0" r="0" b="10795"/>
                  <wp:docPr id="5" name="图片 5" descr="微信图片_20200916070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0091607005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83005" cy="1579880"/>
                  <wp:effectExtent l="0" t="0" r="17145" b="1270"/>
                  <wp:docPr id="14" name="图片 14" descr="微信图片_2020091607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0091607005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3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06245" cy="1165860"/>
                  <wp:effectExtent l="0" t="0" r="8255" b="15240"/>
                  <wp:docPr id="6" name="图片 6" descr="微信图片_202009160700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0091607005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785" t="1142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0624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30375" cy="1183005"/>
                  <wp:effectExtent l="0" t="0" r="3175" b="17145"/>
                  <wp:docPr id="7" name="图片 7" descr="微信图片_2020091607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009160700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r="1738" b="10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73480" cy="1565275"/>
                  <wp:effectExtent l="0" t="0" r="7620" b="15875"/>
                  <wp:docPr id="9" name="图片 9" descr="微信图片_20200916070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0091607005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092200" cy="1457325"/>
                  <wp:effectExtent l="0" t="0" r="12700" b="9525"/>
                  <wp:docPr id="10" name="图片 10" descr="微信图片_20200916070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0091607005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91260" cy="1588135"/>
                  <wp:effectExtent l="0" t="0" r="8890" b="12065"/>
                  <wp:docPr id="11" name="图片 11" descr="微信图片_20200916070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00916070054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201420" cy="1603375"/>
                  <wp:effectExtent l="0" t="0" r="17780" b="15875"/>
                  <wp:docPr id="12" name="图片 12" descr="微信图片_202009160700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00916070054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27125" cy="1503045"/>
                  <wp:effectExtent l="0" t="0" r="15875" b="1905"/>
                  <wp:docPr id="13" name="图片 13" descr="微信图片_202009160700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00916070054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制定了环境因素和危险源识别评价与控制程序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环境和职业健康安全法律法规控制程序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、合规性评价控制程序、监视和测量控制程序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，每年对公司适用的合规义务进行识别更新并定期评价、检查。</w:t>
            </w:r>
          </w:p>
          <w:p>
            <w:pPr>
              <w:pStyle w:val="13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经公司评价，组织策划的措施基本能够满足风险和机遇应对需要，能够与识别的风险和机遇对产品符合性的潜在影响相适应，基本满足标准要求。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0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jc w:val="left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法律法规和其他要求和合规性评价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6.1.3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9.1.2</w:t>
            </w:r>
          </w:p>
          <w:p>
            <w:pPr>
              <w:pStyle w:val="14"/>
              <w:rPr>
                <w:color w:val="auto"/>
              </w:rPr>
            </w:pPr>
          </w:p>
        </w:tc>
        <w:tc>
          <w:tcPr>
            <w:tcW w:w="10688" w:type="dxa"/>
            <w:vAlign w:val="top"/>
          </w:tcPr>
          <w:p>
            <w:pPr>
              <w:spacing w:line="360" w:lineRule="auto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提供法律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法规的收集、识别、适宜性确认和合规性评价。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建立了《法律法规与其他要求管理程序》，描述了目的、职责、适用范围、获取途径、更新和传递；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 公司通过网络、出版机构、书店、专业性报刊、咨询机构、认证机构等渠道收集、评价适用的相关法律法规和其他要求：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3、提供了《法律法规、标准和其他要求清单》，主要有：地表水环境质量标准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污水综合排放标准、生活垃圾焚烧污染控标准、工业企业厂界环境噪声排放标准、生活垃圾填埋场污染控制标准、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一般工业固体废物贮存、处置场污染控制标准、危险废物贮存污染控制标准、危险废物填埋污染控制标准、危险废物焚烧污染控制标准、环境卫生设施设置标准、排污单位自行监测技术指南 总则、室内空气中臭氧卫生标准、恶臭污染物排放标准、生活饮用水卫生标准、危险废物鉴别标准 腐蚀性鉴别、危险废物鉴别标准 急性毒性初筛、危险废物鉴别标准 浸出毒性鉴别、危险废物鉴别标准 易燃性鉴别、危险废物鉴别标准 反应性鉴别、危险废物鉴别标准 毒性物质含量鉴别、危险废物鉴别标准 通则、水质 浊度的测定 浊度计法、伴生放射性物料贮存及固体废物填埋辐射环境保护技术规范（试行）、低、中水平放射性固体废物包安全标准、淘汰落后生产能力、工艺和产品的目录、国务院关于加强节能工作的决定、中华人民共和国放射性污染防治法、中华人民共和国水土保持法、中华人民共和国计量法、国务院关于环境保护若干问题的决定防治尾矿污染环境管理规定、工矿用地土壤环境管理办法（试行）、矿山生态环境保护与污染防治技术政策、江西省环境污染防治条例、突发环境事件调查处理办法、突发环境事件应急管理办法、建设项目环境保护管理条例、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江西省建设项目环境保护条例、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排污许可管理办法、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污染源自动监控管理办法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环境标准管理办法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危险废物转移联单管理办法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城市生活垃圾管理办法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饮用水水源保护区污染防治管理规定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放射性废物安全监督管理规定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大气污染综合排放标准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江西省劳动保护条例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江西省突发公共事件总体应急预案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江西省安全生产事故灾难应急预案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生产安全事故应急预案管理办法 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继电保护和安全自动装置技术规程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粉尘防爆安全规程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有毒作业分级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常用化学危险品贮存通则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生产安全事故应急条例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焊接工艺防尘防毒技术规范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矿山个体呼吸性粉尘测定方法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消防监督检查规定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中华人民共和国道路交通安全法实施条例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工业企业厂内运输安全规程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等，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对适用的条款进行了适用性确认。</w:t>
            </w:r>
          </w:p>
          <w:p>
            <w:pPr>
              <w:pStyle w:val="3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见环境</w:t>
            </w:r>
            <w:r>
              <w:rPr>
                <w:rFonts w:hint="eastAsia"/>
                <w:color w:val="auto"/>
              </w:rPr>
              <w:t xml:space="preserve">合规性评价报告 ER-6.1.2-02 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评价人：李月娥 李茹芸 李嘉      日期：2020.1.10</w:t>
            </w:r>
          </w:p>
          <w:p>
            <w:pPr>
              <w:pStyle w:val="3"/>
              <w:numPr>
                <w:ilvl w:val="0"/>
                <w:numId w:val="2"/>
              </w:num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见安全合规性评价   JL-6.1.3-01，评审人员：李月娥 李茹芸 李嘉   审批：李月娥  日期：2020.1.10   </w:t>
            </w:r>
          </w:p>
        </w:tc>
        <w:tc>
          <w:tcPr>
            <w:tcW w:w="90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  <w:bookmarkStart w:id="0" w:name="_GoBack"/>
      <w:bookmarkEnd w:id="0"/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D27BD"/>
    <w:multiLevelType w:val="singleLevel"/>
    <w:tmpl w:val="C80D27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8BD1B3A"/>
    <w:multiLevelType w:val="singleLevel"/>
    <w:tmpl w:val="D8BD1B3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4426D"/>
    <w:rsid w:val="04244AB4"/>
    <w:rsid w:val="07D20956"/>
    <w:rsid w:val="09193538"/>
    <w:rsid w:val="10650590"/>
    <w:rsid w:val="116F5457"/>
    <w:rsid w:val="24A43961"/>
    <w:rsid w:val="280F5C99"/>
    <w:rsid w:val="39F87301"/>
    <w:rsid w:val="3B785670"/>
    <w:rsid w:val="3C571384"/>
    <w:rsid w:val="45EF1DC9"/>
    <w:rsid w:val="48940638"/>
    <w:rsid w:val="5D45421A"/>
    <w:rsid w:val="5EBA014F"/>
    <w:rsid w:val="600D3C7E"/>
    <w:rsid w:val="61E37517"/>
    <w:rsid w:val="62362A53"/>
    <w:rsid w:val="62B06D83"/>
    <w:rsid w:val="65D62B20"/>
    <w:rsid w:val="69D165C5"/>
    <w:rsid w:val="69D42566"/>
    <w:rsid w:val="78950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2020-09-25T03:18:11Z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