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宜春钽铌矿有限公司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0491-2020-QEO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郭文萍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13979578200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  <w:bookmarkStart w:id="10" w:name="审核范围"/>
            <w:r>
              <w:t>Q：</w:t>
            </w:r>
            <w:r>
              <w:rPr>
                <w:sz w:val="24"/>
                <w:szCs w:val="24"/>
              </w:rPr>
              <w:t>钽铌矿、锂云母、(锂、铝)长石、白花岗石、高岭土（瓷土）的采选加工与销售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E：钽铌矿、锂云母、(锂、铝)长石、白花岗石、高岭土（瓷土）的采选加工与销售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所涉及的</w:t>
            </w:r>
            <w:r>
              <w:rPr>
                <w:sz w:val="24"/>
                <w:szCs w:val="24"/>
              </w:rPr>
              <w:t>环境管理活动</w:t>
            </w:r>
          </w:p>
          <w:p>
            <w:r>
              <w:rPr>
                <w:sz w:val="24"/>
                <w:szCs w:val="24"/>
              </w:rPr>
              <w:t>O：钽铌矿、锂云母、(锂、铝)长石、白花岗石、高岭土（瓷土）的采选加工与销售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所涉及的</w:t>
            </w:r>
            <w:r>
              <w:rPr>
                <w:sz w:val="24"/>
                <w:szCs w:val="24"/>
              </w:rPr>
              <w:t>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Q：02.06.02;02.07.01;02.07.02</w:t>
            </w:r>
          </w:p>
          <w:p>
            <w:r>
              <w:t>E：02.06.02;02.07.01;02.07.02</w:t>
            </w:r>
          </w:p>
          <w:p>
            <w:r>
              <w:t>O：02.06.02;02.07.01;02.07.02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2020年09月14日 上午至2020年09月14日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Q:02.06.02,02.07.01,02.07.02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E:02.06.02,02.07.01,02.07.02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O:02.06.02,02.07.01,02.07.02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姜海军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陈芳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ISC-15478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-182880</wp:posOffset>
                  </wp:positionH>
                  <wp:positionV relativeFrom="paragraph">
                    <wp:posOffset>-262890</wp:posOffset>
                  </wp:positionV>
                  <wp:extent cx="6721475" cy="8618220"/>
                  <wp:effectExtent l="0" t="0" r="9525" b="5080"/>
                  <wp:wrapNone/>
                  <wp:docPr id="2" name="图片 1" descr="doc02535620200921091712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oc02535620200921091712_0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475" cy="861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张鹏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王志慧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现场</w:t>
      </w:r>
      <w:bookmarkStart w:id="14" w:name="_GoBack"/>
      <w:bookmarkEnd w:id="14"/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7005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8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2020.9１４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８：30--1２：30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１２：３０－１３：３０（午餐）</w:t>
            </w:r>
          </w:p>
        </w:tc>
        <w:tc>
          <w:tcPr>
            <w:tcW w:w="70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rPr>
                <w:rFonts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首次会议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2) 方针的制定与贯彻情况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3) 环境因素的识别和评价程序合理性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4) 危险源的辨识和评价程序合理性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5) 体系覆盖产品及产品生产关键过程、特殊过程的识别和确认情况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6) 质量管理体系删减条款的合理性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7) 适用的法律和其他要求的获取、识别程序实施情况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8) 组织的目标、指标和管理方案合理性及实施情况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9) 组织法律法规的遵循情况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10) 内审和管理评审的实施情况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11) 管理体系文件审核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12）识别二阶段审核的资源配置情况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13）末次会议</w:t>
            </w:r>
          </w:p>
        </w:tc>
        <w:tc>
          <w:tcPr>
            <w:tcW w:w="85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１３：30--1７：30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70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7AEF0A86"/>
    <w:multiLevelType w:val="singleLevel"/>
    <w:tmpl w:val="7AEF0A86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9C286F"/>
    <w:rsid w:val="04550812"/>
    <w:rsid w:val="1BD931A0"/>
    <w:rsid w:val="1CE42384"/>
    <w:rsid w:val="25E70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伍光华</cp:lastModifiedBy>
  <cp:lastPrinted>2019-03-27T03:10:00Z</cp:lastPrinted>
  <dcterms:modified xsi:type="dcterms:W3CDTF">2020-09-22T12:09:30Z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