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E7" w:rsidRDefault="0003606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1209"/>
        <w:gridCol w:w="9755"/>
        <w:gridCol w:w="1585"/>
      </w:tblGrid>
      <w:tr w:rsidR="008432E7" w:rsidTr="00FA6258">
        <w:trPr>
          <w:trHeight w:val="515"/>
        </w:trPr>
        <w:tc>
          <w:tcPr>
            <w:tcW w:w="2160" w:type="dxa"/>
            <w:vMerge w:val="restart"/>
            <w:vAlign w:val="center"/>
          </w:tcPr>
          <w:p w:rsidR="008432E7" w:rsidRDefault="00036062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8432E7" w:rsidRDefault="00036062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09" w:type="dxa"/>
            <w:vMerge w:val="restart"/>
            <w:vAlign w:val="center"/>
          </w:tcPr>
          <w:p w:rsidR="008432E7" w:rsidRDefault="00036062" w:rsidP="00FA6258">
            <w:r>
              <w:rPr>
                <w:rFonts w:hint="eastAsia"/>
                <w:sz w:val="24"/>
                <w:szCs w:val="24"/>
              </w:rPr>
              <w:t>涉及条款</w:t>
            </w:r>
          </w:p>
        </w:tc>
        <w:tc>
          <w:tcPr>
            <w:tcW w:w="9755" w:type="dxa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 w:rsidR="00B626E7">
              <w:rPr>
                <w:rFonts w:hint="eastAsia"/>
                <w:sz w:val="24"/>
                <w:szCs w:val="24"/>
              </w:rPr>
              <w:t>供销</w:t>
            </w:r>
            <w:r w:rsidR="00FA6258">
              <w:rPr>
                <w:rFonts w:hint="eastAsia"/>
                <w:sz w:val="24"/>
                <w:szCs w:val="24"/>
              </w:rPr>
              <w:t>部</w:t>
            </w:r>
            <w:r w:rsidR="00FA6258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 w:rsidR="00B626E7" w:rsidRPr="00B626E7">
              <w:rPr>
                <w:rFonts w:hint="eastAsia"/>
                <w:sz w:val="24"/>
                <w:szCs w:val="24"/>
              </w:rPr>
              <w:t>宁海英</w:t>
            </w:r>
            <w:r w:rsidR="00FA6258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 w:rsidR="00B626E7" w:rsidRPr="00B626E7">
              <w:rPr>
                <w:rFonts w:hint="eastAsia"/>
                <w:sz w:val="24"/>
                <w:szCs w:val="24"/>
              </w:rPr>
              <w:t>吴海兵</w:t>
            </w:r>
          </w:p>
        </w:tc>
        <w:tc>
          <w:tcPr>
            <w:tcW w:w="1585" w:type="dxa"/>
            <w:vMerge w:val="restart"/>
            <w:vAlign w:val="center"/>
          </w:tcPr>
          <w:p w:rsidR="008432E7" w:rsidRDefault="000360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8432E7" w:rsidTr="00FA6258">
        <w:trPr>
          <w:trHeight w:val="403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8432E7" w:rsidRDefault="00036062" w:rsidP="00B626E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 w:rsidR="00FA6258">
              <w:rPr>
                <w:rFonts w:hint="eastAsia"/>
                <w:sz w:val="24"/>
                <w:szCs w:val="24"/>
              </w:rPr>
              <w:t>文波</w:t>
            </w:r>
            <w:r w:rsidR="00FA625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sz w:val="24"/>
                <w:szCs w:val="24"/>
              </w:rPr>
              <w:t>20</w:t>
            </w:r>
            <w:r w:rsidR="003C4F12">
              <w:rPr>
                <w:rFonts w:hint="eastAsia"/>
                <w:sz w:val="24"/>
                <w:szCs w:val="24"/>
              </w:rPr>
              <w:t>20.</w:t>
            </w:r>
            <w:r w:rsidR="00B626E7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FA6258">
              <w:rPr>
                <w:rFonts w:hint="eastAsia"/>
                <w:sz w:val="24"/>
                <w:szCs w:val="24"/>
              </w:rPr>
              <w:t>1</w:t>
            </w:r>
            <w:r w:rsidR="00B626E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516"/>
        </w:trPr>
        <w:tc>
          <w:tcPr>
            <w:tcW w:w="2160" w:type="dxa"/>
            <w:vMerge/>
            <w:vAlign w:val="center"/>
          </w:tcPr>
          <w:p w:rsidR="008432E7" w:rsidRDefault="008432E7"/>
        </w:tc>
        <w:tc>
          <w:tcPr>
            <w:tcW w:w="1209" w:type="dxa"/>
            <w:vMerge/>
            <w:vAlign w:val="center"/>
          </w:tcPr>
          <w:p w:rsidR="008432E7" w:rsidRDefault="008432E7"/>
        </w:tc>
        <w:tc>
          <w:tcPr>
            <w:tcW w:w="9755" w:type="dxa"/>
            <w:vAlign w:val="center"/>
          </w:tcPr>
          <w:p w:rsidR="003342B4" w:rsidRDefault="00036062" w:rsidP="003342B4">
            <w:pPr>
              <w:spacing w:line="360" w:lineRule="auto"/>
              <w:rPr>
                <w:rFonts w:eastAsiaTheme="minorEastAsia" w:hAnsiTheme="minorEastAsia"/>
                <w:sz w:val="24"/>
                <w:szCs w:val="24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审核条款：</w:t>
            </w:r>
          </w:p>
          <w:p w:rsidR="008432E7" w:rsidRDefault="003342B4" w:rsidP="003342B4">
            <w:pPr>
              <w:spacing w:line="360" w:lineRule="auto"/>
              <w:ind w:firstLineChars="200" w:firstLine="480"/>
              <w:rPr>
                <w:rFonts w:ascii="宋体" w:hAnsi="宋体" w:cs="Arial"/>
                <w:szCs w:val="21"/>
              </w:rPr>
            </w:pP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EMS: 5.3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组织的岗位、职责和权限、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6.2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环境目标、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6.1.2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环境因素识别与评价、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8.1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运行策划和控制、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8.2</w:t>
            </w:r>
            <w:r w:rsidRPr="003342B4">
              <w:rPr>
                <w:rFonts w:eastAsiaTheme="minorEastAsia" w:hAnsiTheme="minorEastAsia" w:hint="eastAsia"/>
                <w:sz w:val="24"/>
                <w:szCs w:val="24"/>
              </w:rPr>
              <w:t>应急准备和响应</w:t>
            </w:r>
          </w:p>
        </w:tc>
        <w:tc>
          <w:tcPr>
            <w:tcW w:w="1585" w:type="dxa"/>
            <w:vMerge/>
          </w:tcPr>
          <w:p w:rsidR="008432E7" w:rsidRDefault="008432E7"/>
        </w:tc>
      </w:tr>
      <w:tr w:rsidR="008432E7" w:rsidTr="00FA6258">
        <w:trPr>
          <w:trHeight w:val="1255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组织的岗位、职责权限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E5.3</w:t>
            </w:r>
          </w:p>
        </w:tc>
        <w:tc>
          <w:tcPr>
            <w:tcW w:w="9755" w:type="dxa"/>
            <w:vAlign w:val="center"/>
          </w:tcPr>
          <w:p w:rsidR="00FA6258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审核过程中了解到部门主要负责：采购控制、供应商管控、市场调研与开发，招投标、商务谈判及合同评审，顾客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档案建立，售后服务及顾客满意度评价与分析，本部门环境因素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识别和控制，本部门目标制定与实施，与相关方做好沟通等。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经与部门负责人交流发现其对部门职责权限基本掌握，部门职责得到合理分配，未发现因职责不清责任不明而造成体系运行失效的情况。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8432E7" w:rsidTr="00FA6258">
        <w:trPr>
          <w:trHeight w:val="1397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目标和方案</w:t>
            </w:r>
          </w:p>
        </w:tc>
        <w:tc>
          <w:tcPr>
            <w:tcW w:w="1209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/>
                <w:sz w:val="24"/>
                <w:szCs w:val="24"/>
              </w:rPr>
              <w:t>E6.2</w:t>
            </w:r>
          </w:p>
        </w:tc>
        <w:tc>
          <w:tcPr>
            <w:tcW w:w="9755" w:type="dxa"/>
            <w:vAlign w:val="center"/>
          </w:tcPr>
          <w:p w:rsidR="00FA6258" w:rsidRPr="005557E0" w:rsidRDefault="00FA6258" w:rsidP="00B626E7">
            <w:pPr>
              <w:spacing w:beforeLines="30" w:afterLines="30" w:line="288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部门目标：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Theme="minorEastAsia"/>
                <w:sz w:val="24"/>
                <w:szCs w:val="24"/>
              </w:rPr>
              <w:t>2020.</w:t>
            </w:r>
            <w:r w:rsidR="00B626E7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626E7">
              <w:rPr>
                <w:rFonts w:eastAsiaTheme="minorEastAsia" w:hint="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考核</w:t>
            </w:r>
          </w:p>
          <w:p w:rsidR="00FA6258" w:rsidRPr="00FA6258" w:rsidRDefault="003342B4" w:rsidP="00B626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、固废分类处置率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100%                                       100%</w:t>
            </w:r>
          </w:p>
          <w:p w:rsidR="00FA6258" w:rsidRPr="00FA6258" w:rsidRDefault="003342B4" w:rsidP="00B626E7">
            <w:pPr>
              <w:spacing w:beforeLines="30" w:afterLines="30" w:line="288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="00FA6258">
              <w:rPr>
                <w:rFonts w:eastAsiaTheme="minorEastAsia" w:hAnsiTheme="minorEastAsia"/>
                <w:sz w:val="24"/>
                <w:szCs w:val="24"/>
              </w:rPr>
              <w:t>、火灾</w:t>
            </w:r>
            <w:r w:rsidR="00FA6258" w:rsidRPr="005557E0">
              <w:rPr>
                <w:rFonts w:eastAsiaTheme="minorEastAsia" w:hAnsiTheme="minorEastAsia"/>
                <w:sz w:val="24"/>
                <w:szCs w:val="24"/>
              </w:rPr>
              <w:t>事故发生次数为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0                              </w:t>
            </w:r>
            <w:r w:rsidR="00FA6258" w:rsidRP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  </w:t>
            </w:r>
            <w:r w:rsidR="00FA6258">
              <w:rPr>
                <w:rFonts w:eastAsiaTheme="minorEastAsia" w:hAnsiTheme="minorEastAsia" w:hint="eastAsia"/>
                <w:sz w:val="24"/>
                <w:szCs w:val="24"/>
              </w:rPr>
              <w:t xml:space="preserve">   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 xml:space="preserve"> 0</w:t>
            </w:r>
            <w:r w:rsidR="00FA6258" w:rsidRPr="00FA6258">
              <w:rPr>
                <w:rFonts w:eastAsiaTheme="minorEastAsia" w:hAnsiTheme="minorEastAsia"/>
                <w:sz w:val="24"/>
                <w:szCs w:val="24"/>
              </w:rPr>
              <w:t>次</w:t>
            </w:r>
          </w:p>
          <w:p w:rsidR="008432E7" w:rsidRPr="00FA6258" w:rsidRDefault="00FA6258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5557E0">
              <w:rPr>
                <w:rFonts w:eastAsiaTheme="minorEastAsia" w:hAnsiTheme="minorEastAsia"/>
                <w:sz w:val="24"/>
                <w:szCs w:val="24"/>
              </w:rPr>
              <w:t>考核情况：经查</w:t>
            </w:r>
            <w:r w:rsidRPr="005557E0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20.</w:t>
            </w:r>
            <w:r w:rsidR="00B626E7">
              <w:rPr>
                <w:rFonts w:eastAsiaTheme="minorEastAsia" w:hint="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.</w:t>
            </w:r>
            <w:r w:rsidR="00B626E7">
              <w:rPr>
                <w:rFonts w:eastAsiaTheme="minorEastAsia" w:hint="eastAsia"/>
                <w:sz w:val="24"/>
                <w:szCs w:val="24"/>
              </w:rPr>
              <w:t>1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环境目标分解考核表，各目标达成要求。</w:t>
            </w:r>
          </w:p>
        </w:tc>
        <w:tc>
          <w:tcPr>
            <w:tcW w:w="1585" w:type="dxa"/>
          </w:tcPr>
          <w:p w:rsidR="008432E7" w:rsidRDefault="00FD5E6E">
            <w:r>
              <w:t>符合</w:t>
            </w:r>
          </w:p>
        </w:tc>
      </w:tr>
      <w:tr w:rsidR="00FD5E6E" w:rsidTr="003342B4">
        <w:trPr>
          <w:trHeight w:val="1256"/>
        </w:trPr>
        <w:tc>
          <w:tcPr>
            <w:tcW w:w="2160" w:type="dxa"/>
            <w:vAlign w:val="center"/>
          </w:tcPr>
          <w:p w:rsidR="00FD5E6E" w:rsidRPr="00194789" w:rsidRDefault="00FD5E6E" w:rsidP="003342B4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环境因素</w:t>
            </w:r>
          </w:p>
        </w:tc>
        <w:tc>
          <w:tcPr>
            <w:tcW w:w="1209" w:type="dxa"/>
          </w:tcPr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/>
                <w:sz w:val="24"/>
                <w:szCs w:val="24"/>
              </w:rPr>
              <w:t>E6.1.2</w:t>
            </w:r>
          </w:p>
        </w:tc>
        <w:tc>
          <w:tcPr>
            <w:tcW w:w="9755" w:type="dxa"/>
          </w:tcPr>
          <w:p w:rsidR="00FD5E6E" w:rsidRPr="00194789" w:rsidRDefault="003342B4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查有：《环境因素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识别评价与控制程序》</w:t>
            </w:r>
            <w:r w:rsidR="00FD5E6E" w:rsidRPr="00194789">
              <w:rPr>
                <w:rFonts w:eastAsiaTheme="minorEastAsia"/>
                <w:sz w:val="24"/>
                <w:szCs w:val="24"/>
              </w:rPr>
              <w:t>,</w:t>
            </w:r>
            <w:r w:rsidR="00F02CD1">
              <w:rPr>
                <w:rFonts w:eastAsiaTheme="minorEastAsia" w:hAnsiTheme="minorEastAsia"/>
                <w:sz w:val="24"/>
                <w:szCs w:val="24"/>
              </w:rPr>
              <w:t>供销</w:t>
            </w:r>
            <w:r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按照办公过程和采购服务过程</w:t>
            </w:r>
            <w:r w:rsidR="00FD5E6E">
              <w:rPr>
                <w:rFonts w:eastAsiaTheme="minorEastAsia" w:hAnsiTheme="minorEastAsia"/>
                <w:sz w:val="24"/>
                <w:szCs w:val="24"/>
              </w:rPr>
              <w:t>、销售服务过程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对环境因素、危险源进行了辨识，辨识时考虑了三种时态：过去、现在和将来，和三种状态：正常、异常和紧急。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lastRenderedPageBreak/>
              <w:t>查</w:t>
            </w:r>
            <w:r w:rsidR="00F02CD1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的</w:t>
            </w:r>
            <w:r w:rsidRPr="00194789">
              <w:rPr>
                <w:rFonts w:eastAsiaTheme="minorEastAsia"/>
                <w:sz w:val="24"/>
                <w:szCs w:val="24"/>
              </w:rPr>
              <w:t>“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环境因素识别评价汇总表</w:t>
            </w:r>
            <w:r w:rsidRPr="00194789">
              <w:rPr>
                <w:rFonts w:eastAsiaTheme="minorEastAsia"/>
                <w:sz w:val="24"/>
                <w:szCs w:val="24"/>
              </w:rPr>
              <w:t>”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，识别了本部门在办公、采购、</w:t>
            </w:r>
            <w:r>
              <w:rPr>
                <w:rFonts w:eastAsiaTheme="minorEastAsia" w:hAnsiTheme="minorEastAsia"/>
                <w:sz w:val="24"/>
                <w:szCs w:val="24"/>
              </w:rPr>
              <w:t>销售、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相关方等各有关过程的环境因素，包括日光灯更换、电脑使用用电消耗、办公纸张、采购</w:t>
            </w:r>
            <w:r>
              <w:rPr>
                <w:rFonts w:eastAsiaTheme="minorEastAsia" w:hAnsiTheme="minorEastAsia"/>
                <w:sz w:val="24"/>
                <w:szCs w:val="24"/>
              </w:rPr>
              <w:t>、销售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活动宣传材料的处置、车辆尾气排放、废包装物排放等环境因素，识别时能考虑产品生命周期观点。</w:t>
            </w:r>
          </w:p>
          <w:p w:rsidR="00FD5E6E" w:rsidRPr="00194789" w:rsidRDefault="00F02CD1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查《重要环境因素清单》，涉及供销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部有</w:t>
            </w:r>
            <w:r w:rsidR="00B626E7">
              <w:rPr>
                <w:rFonts w:eastAsiaTheme="minorEastAsia" w:hint="eastAsia"/>
                <w:sz w:val="24"/>
                <w:szCs w:val="24"/>
              </w:rPr>
              <w:t>2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项重要环境因素，</w:t>
            </w:r>
            <w:r w:rsidR="00FD5E6E" w:rsidRPr="00194789">
              <w:rPr>
                <w:rFonts w:eastAsiaTheme="minorEastAsia" w:hAnsiTheme="minorEastAsia"/>
                <w:sz w:val="24"/>
                <w:szCs w:val="24"/>
              </w:rPr>
              <w:t>包括：潜在火灾、固体废弃物的排放。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控制措施：固废分类存放、垃圾等由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办公室</w:t>
            </w:r>
            <w:r w:rsidRPr="00194789">
              <w:rPr>
                <w:rFonts w:eastAsiaTheme="minorEastAsia" w:hAnsiTheme="minorEastAsia"/>
                <w:sz w:val="24"/>
                <w:szCs w:val="24"/>
              </w:rPr>
              <w:t>负责按规定处置，包装物分类卖掉，日常检查、培训教育，配备有消防器材、制定应急预案等措施。</w:t>
            </w:r>
          </w:p>
          <w:p w:rsidR="00FD5E6E" w:rsidRPr="00194789" w:rsidRDefault="00FD5E6E" w:rsidP="00E162D3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</w:rPr>
            </w:pPr>
            <w:r w:rsidRPr="00194789">
              <w:rPr>
                <w:rFonts w:eastAsiaTheme="minorEastAsia" w:hAnsiTheme="minor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FD5E6E" w:rsidRDefault="00FD5E6E">
            <w:r>
              <w:lastRenderedPageBreak/>
              <w:t>符合</w:t>
            </w:r>
          </w:p>
        </w:tc>
      </w:tr>
      <w:tr w:rsidR="008432E7" w:rsidTr="00FA6258">
        <w:trPr>
          <w:trHeight w:val="2110"/>
        </w:trPr>
        <w:tc>
          <w:tcPr>
            <w:tcW w:w="2160" w:type="dxa"/>
            <w:vAlign w:val="center"/>
          </w:tcPr>
          <w:p w:rsidR="008432E7" w:rsidRPr="00FA6258" w:rsidRDefault="00036062">
            <w:pPr>
              <w:rPr>
                <w:rFonts w:eastAsia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color w:val="000000"/>
                <w:sz w:val="24"/>
                <w:szCs w:val="24"/>
              </w:rPr>
              <w:lastRenderedPageBreak/>
              <w:t>运行控制</w:t>
            </w:r>
          </w:p>
        </w:tc>
        <w:tc>
          <w:tcPr>
            <w:tcW w:w="1209" w:type="dxa"/>
            <w:vAlign w:val="center"/>
          </w:tcPr>
          <w:p w:rsidR="008432E7" w:rsidRPr="00F51309" w:rsidRDefault="0003606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A6258">
              <w:rPr>
                <w:rFonts w:eastAsiaTheme="minorEastAsia"/>
                <w:color w:val="000000"/>
                <w:sz w:val="24"/>
                <w:szCs w:val="24"/>
              </w:rPr>
              <w:t>E8.1</w:t>
            </w:r>
          </w:p>
        </w:tc>
        <w:tc>
          <w:tcPr>
            <w:tcW w:w="9755" w:type="dxa"/>
            <w:vAlign w:val="center"/>
          </w:tcPr>
          <w:p w:rsidR="008432E7" w:rsidRPr="00FA6258" w:rsidRDefault="00036062" w:rsidP="00FA6258">
            <w:pPr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FA6258">
              <w:rPr>
                <w:rFonts w:eastAsiaTheme="minorEastAsia" w:hAnsiTheme="minorEastAsia"/>
                <w:sz w:val="24"/>
                <w:szCs w:val="24"/>
              </w:rPr>
              <w:t>本部门应执行的运行控制文件包括：环境管理控制程序、固体废弃物管理规定、对相关方施加影响管</w:t>
            </w:r>
            <w:r w:rsidR="00693044">
              <w:rPr>
                <w:rFonts w:eastAsiaTheme="minorEastAsia" w:hAnsiTheme="minorEastAsia"/>
                <w:sz w:val="24"/>
                <w:szCs w:val="24"/>
              </w:rPr>
              <w:t>理规定、节能降耗管理规定、消防安全管理制度、办公室安全管理制度</w:t>
            </w:r>
            <w:r w:rsidRPr="00FA6258">
              <w:rPr>
                <w:rFonts w:eastAsiaTheme="minorEastAsia" w:hAnsiTheme="minorEastAsia"/>
                <w:sz w:val="24"/>
                <w:szCs w:val="24"/>
              </w:rPr>
              <w:t>、电脑使用管理办法、服务人员工作规范等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废水管控：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过程不产生废水，生活废水排入管网集中处理。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废气管控：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无。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噪声管控：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办公过程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基本无噪声。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固废管控：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主要是办公固废的排放、各产品包装物的排放。</w:t>
            </w:r>
            <w:r w:rsidR="00B626E7">
              <w:rPr>
                <w:rFonts w:eastAsiaTheme="minorEastAsia" w:hAnsiTheme="minorEastAsia" w:hint="eastAsia"/>
                <w:sz w:val="24"/>
                <w:szCs w:val="24"/>
              </w:rPr>
              <w:t>供销</w:t>
            </w:r>
            <w:r w:rsidR="003342B4">
              <w:rPr>
                <w:rFonts w:eastAsiaTheme="minorEastAsia" w:hAnsiTheme="minorEastAsia" w:hint="eastAsia"/>
                <w:sz w:val="24"/>
                <w:szCs w:val="24"/>
              </w:rPr>
              <w:t>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将墨盒硒鼓等办公危废交</w:t>
            </w:r>
            <w:r w:rsidR="003342B4">
              <w:rPr>
                <w:rFonts w:eastAsiaTheme="minorEastAsia" w:hAnsiTheme="minorEastAsia" w:hint="eastAsia"/>
                <w:sz w:val="24"/>
                <w:szCs w:val="24"/>
              </w:rPr>
              <w:t>办公室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一般是交供应商回收，其他固废及生活垃圾放在门口垃圾桶由环卫部门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统一处理。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能源资源管控：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办公过程注意节水、节电，人走关闭设备和照明开关，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查看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现场未发现有漏水和浪费电能的现象。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潜在火灾管控：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公司配备了消防设施。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7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安全防护：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主要是防止触电，办公时注意防护，加强日常检查和培训教育。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能提供防止员工意外伤害加重的急救药品如创可贴、杀菌药水等。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9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ab/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为主要长期员工上社保，查见交款证明。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10</w:t>
            </w: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）按有关程序和要求通报供方和顾客，采用〈告知函〉方式通报。查到</w:t>
            </w:r>
            <w:r w:rsidR="003342B4" w:rsidRPr="000D5E0A">
              <w:rPr>
                <w:rFonts w:eastAsiaTheme="minorEastAsia" w:hAnsiTheme="minorEastAsia" w:hint="eastAsia"/>
                <w:sz w:val="24"/>
                <w:szCs w:val="24"/>
              </w:rPr>
              <w:t>对主要供方名称“</w:t>
            </w:r>
            <w:r w:rsidR="00F02CD1" w:rsidRPr="000D5E0A">
              <w:rPr>
                <w:rFonts w:eastAsiaTheme="minorEastAsia" w:hAnsiTheme="minorEastAsia" w:hint="eastAsia"/>
                <w:sz w:val="24"/>
                <w:szCs w:val="24"/>
              </w:rPr>
              <w:t>江西龙邦家具有限公司</w:t>
            </w:r>
            <w:r w:rsidR="003342B4" w:rsidRPr="000D5E0A">
              <w:rPr>
                <w:rFonts w:eastAsiaTheme="minorEastAsia" w:hAnsiTheme="minorEastAsia" w:hint="eastAsia"/>
                <w:sz w:val="24"/>
                <w:szCs w:val="24"/>
              </w:rPr>
              <w:t>”</w:t>
            </w:r>
            <w:r w:rsidR="000D5E0A" w:rsidRPr="000D5E0A">
              <w:rPr>
                <w:rFonts w:eastAsiaTheme="minorEastAsia" w:hAnsiTheme="minorEastAsia" w:hint="eastAsia"/>
                <w:sz w:val="24"/>
                <w:szCs w:val="24"/>
              </w:rPr>
              <w:t>“赣州市南康区金喜多多家具有限公司”</w:t>
            </w:r>
            <w:r w:rsidRPr="000D5E0A">
              <w:rPr>
                <w:rFonts w:eastAsiaTheme="minorEastAsia" w:hAnsiTheme="minorEastAsia" w:hint="eastAsia"/>
                <w:sz w:val="24"/>
                <w:szCs w:val="24"/>
              </w:rPr>
              <w:t>相关方告知书</w:t>
            </w:r>
            <w:r w:rsidR="003342B4" w:rsidRPr="000D5E0A">
              <w:rPr>
                <w:rFonts w:eastAsiaTheme="minorEastAsia" w:hAnsiTheme="minorEastAsia" w:hint="eastAsia"/>
                <w:sz w:val="24"/>
                <w:szCs w:val="24"/>
              </w:rPr>
              <w:t>，企业未能提供，开具了不符合项，要求改善。</w:t>
            </w:r>
          </w:p>
          <w:p w:rsid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）员工饮用水为纯净水通过饮水机饮用。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在产品运输时，要求司机必须有驾驶证，车辆需经年检合格，车况良好，禁止疲劳驾驶，控制车速。</w:t>
            </w:r>
          </w:p>
          <w:p w:rsidR="00FD5E6E" w:rsidRPr="00FD5E6E" w:rsidRDefault="00FD5E6E" w:rsidP="00FD5E6E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lastRenderedPageBreak/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在产品装车时，要求装运人员必须穿戴劳动防护用品，合理使用搬运工具。</w:t>
            </w:r>
          </w:p>
          <w:p w:rsidR="00FD5E6E" w:rsidRPr="005557E0" w:rsidRDefault="00FD5E6E" w:rsidP="00FD5E6E">
            <w:pPr>
              <w:spacing w:line="360" w:lineRule="auto"/>
              <w:ind w:firstLine="200"/>
              <w:rPr>
                <w:rFonts w:eastAsia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对于</w:t>
            </w:r>
            <w:r w:rsidRPr="005557E0"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 w:hAnsiTheme="minorEastAsia"/>
                <w:sz w:val="24"/>
                <w:szCs w:val="24"/>
              </w:rPr>
              <w:t>年度此次新型冠状病毒感染的肺炎疫情防控事宜，</w:t>
            </w:r>
            <w:r w:rsidR="00B626E7">
              <w:rPr>
                <w:rFonts w:eastAsiaTheme="minorEastAsia" w:hAnsiTheme="minorEastAsia"/>
                <w:sz w:val="24"/>
                <w:szCs w:val="24"/>
              </w:rPr>
              <w:t>供销</w:t>
            </w:r>
            <w:r w:rsidR="003342B4">
              <w:rPr>
                <w:rFonts w:eastAsiaTheme="minorEastAsia" w:hAnsiTheme="minorEastAsia"/>
                <w:sz w:val="24"/>
                <w:szCs w:val="24"/>
              </w:rPr>
              <w:t>部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执行公司要求进行人员出入登记，量体温</w:t>
            </w:r>
            <w:r>
              <w:rPr>
                <w:rFonts w:eastAsiaTheme="minorEastAsia" w:hAnsiTheme="minorEastAsia"/>
                <w:sz w:val="24"/>
                <w:szCs w:val="24"/>
              </w:rPr>
              <w:t>，戴口罩等。人员出入填写《企业职工体温登记表》，记录了姓名</w:t>
            </w:r>
            <w:r w:rsidRPr="005557E0">
              <w:rPr>
                <w:rFonts w:eastAsiaTheme="minorEastAsia" w:hAnsiTheme="minorEastAsia"/>
                <w:sz w:val="24"/>
                <w:szCs w:val="24"/>
              </w:rPr>
              <w:t>、体温、是否发热等内容按要求基本做好了控制。</w:t>
            </w:r>
          </w:p>
          <w:p w:rsidR="00FD5E6E" w:rsidRPr="00F51309" w:rsidRDefault="00FD5E6E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5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办公室和仓库内主要是电的使用，电器有漏电保护器，经常对电路、电源进行检查，没有露电现象发生，查见有消除安全检查记录，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.1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---2020.</w:t>
            </w:r>
            <w:r w:rsidR="00B626E7">
              <w:rPr>
                <w:rFonts w:eastAsiaTheme="minorEastAsia" w:hAnsiTheme="minorEastAsia" w:hint="eastAsia"/>
                <w:sz w:val="24"/>
                <w:szCs w:val="24"/>
              </w:rPr>
              <w:t>8</w:t>
            </w:r>
            <w:r w:rsidRPr="00FD5E6E">
              <w:rPr>
                <w:rFonts w:eastAsiaTheme="minorEastAsia" w:hAnsiTheme="minorEastAsia" w:hint="eastAsia"/>
                <w:sz w:val="24"/>
                <w:szCs w:val="24"/>
              </w:rPr>
              <w:t>月份检查结果正常，检查人</w:t>
            </w:r>
            <w:r w:rsidR="009948B9">
              <w:rPr>
                <w:rFonts w:eastAsiaTheme="minorEastAsia" w:hAnsiTheme="minorEastAsia" w:hint="eastAsia"/>
                <w:sz w:val="24"/>
                <w:szCs w:val="24"/>
              </w:rPr>
              <w:t>冯晓丽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="00FD5E6E">
              <w:rPr>
                <w:rFonts w:eastAsiaTheme="minorEastAsia" w:hAnsiTheme="minorEastAsia" w:hint="eastAsia"/>
                <w:sz w:val="24"/>
                <w:szCs w:val="24"/>
              </w:rPr>
              <w:t>6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）现场运行控制：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公司从事的主要是</w:t>
            </w:r>
            <w:r w:rsidR="00F02CD1">
              <w:rPr>
                <w:rFonts w:eastAsiaTheme="minorEastAsia" w:hAnsiTheme="minorEastAsia" w:hint="eastAsia"/>
                <w:sz w:val="24"/>
                <w:szCs w:val="24"/>
              </w:rPr>
              <w:t>办公</w:t>
            </w:r>
            <w:r w:rsidR="009948B9">
              <w:rPr>
                <w:rFonts w:eastAsiaTheme="minorEastAsia" w:hAnsiTheme="minorEastAsia" w:hint="eastAsia"/>
                <w:sz w:val="24"/>
                <w:szCs w:val="24"/>
              </w:rPr>
              <w:t>家具</w:t>
            </w:r>
            <w:r w:rsidR="0096202E" w:rsidRPr="0096202E">
              <w:rPr>
                <w:rFonts w:eastAsiaTheme="minorEastAsia" w:hAnsiTheme="minorEastAsia" w:hint="eastAsia"/>
                <w:sz w:val="24"/>
                <w:szCs w:val="24"/>
              </w:rPr>
              <w:t>的销售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现场查看各销售、办公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人员坐姿正确避免过度疲劳。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电脑显示器调整到保护视力的颜色。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各</w:t>
            </w: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办公区内现场电线布线合理，电线均处于完好状态，有接地及保护装置，漏电保护器状态良好。</w:t>
            </w:r>
          </w:p>
          <w:p w:rsidR="00F51309" w:rsidRPr="00F51309" w:rsidRDefault="00F51309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 w:rsidRPr="00F51309">
              <w:rPr>
                <w:rFonts w:eastAsiaTheme="minorEastAsia" w:hAnsiTheme="minorEastAsia" w:hint="eastAsia"/>
                <w:sz w:val="24"/>
                <w:szCs w:val="24"/>
              </w:rPr>
              <w:t>现场有分类存放的垃圾桶。</w:t>
            </w:r>
          </w:p>
          <w:p w:rsidR="00F51309" w:rsidRPr="00F51309" w:rsidRDefault="00F02CD1" w:rsidP="00F51309">
            <w:pPr>
              <w:spacing w:line="360" w:lineRule="auto"/>
              <w:ind w:firstLine="20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现场配备有灭火器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，均有效。</w:t>
            </w:r>
          </w:p>
          <w:p w:rsidR="008432E7" w:rsidRPr="00FA6258" w:rsidRDefault="00F02CD1" w:rsidP="00F51309">
            <w:pPr>
              <w:pStyle w:val="a6"/>
              <w:spacing w:before="0" w:after="0" w:line="360" w:lineRule="auto"/>
              <w:rPr>
                <w:rFonts w:eastAsiaTheme="minorEastAsia" w:hAnsiTheme="minorEastAsia"/>
                <w:bCs w:val="0"/>
                <w:spacing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现场在环保</w:t>
            </w:r>
            <w:r w:rsidR="00F51309" w:rsidRPr="00F51309">
              <w:rPr>
                <w:rFonts w:eastAsiaTheme="minorEastAsia" w:hAnsiTheme="minorEastAsia" w:hint="eastAsia"/>
                <w:sz w:val="24"/>
                <w:szCs w:val="24"/>
              </w:rPr>
              <w:t>方面的控制管理基本有效。</w:t>
            </w:r>
          </w:p>
        </w:tc>
        <w:tc>
          <w:tcPr>
            <w:tcW w:w="1585" w:type="dxa"/>
          </w:tcPr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9948B9" w:rsidRDefault="009948B9"/>
          <w:p w:rsidR="008432E7" w:rsidRDefault="009948B9">
            <w:r>
              <w:rPr>
                <w:rFonts w:hint="eastAsia"/>
              </w:rPr>
              <w:t>不</w:t>
            </w:r>
            <w:r w:rsidR="00FD5E6E">
              <w:t>符合</w:t>
            </w:r>
          </w:p>
          <w:p w:rsidR="009948B9" w:rsidRDefault="009948B9"/>
          <w:p w:rsidR="009948B9" w:rsidRDefault="009948B9"/>
          <w:p w:rsidR="009948B9" w:rsidRDefault="009948B9"/>
        </w:tc>
      </w:tr>
      <w:tr w:rsidR="00F02CD1" w:rsidTr="0024745E">
        <w:trPr>
          <w:trHeight w:val="1670"/>
        </w:trPr>
        <w:tc>
          <w:tcPr>
            <w:tcW w:w="2160" w:type="dxa"/>
            <w:vAlign w:val="center"/>
          </w:tcPr>
          <w:p w:rsidR="00F02CD1" w:rsidRPr="00DF525C" w:rsidRDefault="00F02CD1" w:rsidP="00E2069E">
            <w:pPr>
              <w:rPr>
                <w:rFonts w:eastAsiaTheme="minorEastAsia"/>
                <w:sz w:val="24"/>
                <w:szCs w:val="24"/>
              </w:rPr>
            </w:pPr>
            <w:r w:rsidRPr="00DF525C">
              <w:rPr>
                <w:rFonts w:eastAsiaTheme="minorEastAsia" w:hAnsiTheme="minor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09" w:type="dxa"/>
          </w:tcPr>
          <w:p w:rsidR="00F02CD1" w:rsidRPr="00DF525C" w:rsidRDefault="00F02CD1" w:rsidP="00E2069E">
            <w:pPr>
              <w:spacing w:line="360" w:lineRule="auto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</w:t>
            </w:r>
            <w:r w:rsidRPr="00DF525C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9755" w:type="dxa"/>
          </w:tcPr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编制了《应急准备和响应程序》，</w:t>
            </w:r>
            <w:r>
              <w:rPr>
                <w:rFonts w:eastAsiaTheme="minorEastAsia" w:hAnsiTheme="minorEastAsia"/>
                <w:sz w:val="24"/>
                <w:szCs w:val="24"/>
              </w:rPr>
              <w:t>确定的紧急情况有：火灾、触电</w:t>
            </w:r>
            <w:r w:rsidRPr="00EE52B1">
              <w:rPr>
                <w:rFonts w:eastAsiaTheme="minorEastAsia" w:hAnsiTheme="minorEastAsia"/>
                <w:sz w:val="24"/>
                <w:szCs w:val="24"/>
              </w:rPr>
              <w:t>等。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建立了火灾、触电、疫情防控等应急预案，由办公室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组织演练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。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查看了火灾应急预案演习记录，演练时间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 xml:space="preserve">  2020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日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负责人：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潘文香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参加人：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行政部、供销部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演练的效果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1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、组织指挥有序，项目岗位配合较好，达到了预定目标，演练的效果较好。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2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、人员的速度较快，及时按照预定方案对事故处理人员进行保护。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3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、各参训人员着装整齐，装备佩戴完整，精神饱满。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4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、处理事故得当，速度较快，分工明确，能各负其责</w:t>
            </w:r>
          </w:p>
          <w:p w:rsidR="00F02CD1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演练达到了目的。有效。</w:t>
            </w:r>
          </w:p>
          <w:p w:rsidR="00F02CD1" w:rsidRPr="009B3BA0" w:rsidRDefault="00F02CD1" w:rsidP="00E2069E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查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2020.3.25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日触电</w:t>
            </w: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应急预案演习记录</w:t>
            </w:r>
            <w:r>
              <w:rPr>
                <w:rFonts w:eastAsiaTheme="minorEastAsia" w:hAnsiTheme="minorEastAsia" w:hint="eastAsia"/>
                <w:sz w:val="24"/>
                <w:szCs w:val="24"/>
              </w:rPr>
              <w:t>，情况同上。</w:t>
            </w:r>
          </w:p>
          <w:p w:rsidR="00F02CD1" w:rsidRPr="00DF525C" w:rsidRDefault="00F02CD1" w:rsidP="00E2069E">
            <w:pPr>
              <w:spacing w:line="360" w:lineRule="auto"/>
              <w:ind w:firstLineChars="250" w:firstLine="600"/>
              <w:rPr>
                <w:rFonts w:eastAsiaTheme="minorEastAsia"/>
                <w:sz w:val="24"/>
                <w:szCs w:val="24"/>
              </w:rPr>
            </w:pPr>
            <w:r w:rsidRPr="009B3BA0">
              <w:rPr>
                <w:rFonts w:eastAsiaTheme="minorEastAsia" w:hAnsiTheme="minorEastAsia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F02CD1" w:rsidRDefault="00F02CD1">
            <w:r>
              <w:t>符合</w:t>
            </w:r>
          </w:p>
        </w:tc>
      </w:tr>
    </w:tbl>
    <w:p w:rsidR="008432E7" w:rsidRDefault="008432E7" w:rsidP="00F02CD1"/>
    <w:p w:rsidR="008432E7" w:rsidRDefault="008432E7" w:rsidP="00F02CD1"/>
    <w:p w:rsidR="008432E7" w:rsidRDefault="008432E7"/>
    <w:p w:rsidR="008432E7" w:rsidRDefault="00036062">
      <w:pPr>
        <w:pStyle w:val="a4"/>
      </w:pPr>
      <w:r>
        <w:rPr>
          <w:rFonts w:hint="eastAsia"/>
        </w:rPr>
        <w:t>说明：不符合标注</w:t>
      </w:r>
      <w:r>
        <w:t>N</w:t>
      </w:r>
    </w:p>
    <w:p w:rsidR="008432E7" w:rsidRDefault="008432E7"/>
    <w:p w:rsidR="008432E7" w:rsidRDefault="008432E7">
      <w:pPr>
        <w:pStyle w:val="a4"/>
      </w:pPr>
    </w:p>
    <w:sectPr w:rsidR="008432E7" w:rsidSect="008432E7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02" w:rsidRDefault="00972202" w:rsidP="008432E7">
      <w:r>
        <w:separator/>
      </w:r>
    </w:p>
  </w:endnote>
  <w:endnote w:type="continuationSeparator" w:id="1">
    <w:p w:rsidR="00972202" w:rsidRDefault="00972202" w:rsidP="0084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92533" w:rsidRDefault="00C47C5D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5E0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09253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9253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5E0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533" w:rsidRDefault="00092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02" w:rsidRDefault="00972202" w:rsidP="008432E7">
      <w:r>
        <w:separator/>
      </w:r>
    </w:p>
  </w:footnote>
  <w:footnote w:type="continuationSeparator" w:id="1">
    <w:p w:rsidR="00972202" w:rsidRDefault="00972202" w:rsidP="0084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33" w:rsidRDefault="0009253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092533" w:rsidRDefault="00C47C5D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54.75pt;margin-top:2.2pt;width:172pt;height:20.2pt;z-index:251658240" stroked="f">
          <v:textbox>
            <w:txbxContent>
              <w:p w:rsidR="00092533" w:rsidRDefault="0009253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="001136C9">
                  <w:rPr>
                    <w:sz w:val="18"/>
                    <w:szCs w:val="18"/>
                  </w:rPr>
                  <w:t>I</w:t>
                </w:r>
                <w:r w:rsidR="001136C9">
                  <w:rPr>
                    <w:rFonts w:hint="eastAsia"/>
                    <w:sz w:val="18"/>
                    <w:szCs w:val="18"/>
                  </w:rPr>
                  <w:t>-12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2533">
      <w:rPr>
        <w:rStyle w:val="CharChar1"/>
        <w:rFonts w:hint="default"/>
        <w:w w:val="90"/>
      </w:rPr>
      <w:t>Beijing International Standard united Certification Co.,Ltd.</w:t>
    </w:r>
  </w:p>
  <w:p w:rsidR="00092533" w:rsidRDefault="000925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A964C8"/>
    <w:multiLevelType w:val="multilevel"/>
    <w:tmpl w:val="6FA964C8"/>
    <w:lvl w:ilvl="0">
      <w:start w:val="1"/>
      <w:numFmt w:val="decimal"/>
      <w:lvlText w:val="%1、"/>
      <w:lvlJc w:val="left"/>
      <w:pPr>
        <w:ind w:left="315" w:hanging="31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E7"/>
    <w:rsid w:val="00036062"/>
    <w:rsid w:val="00066763"/>
    <w:rsid w:val="000806D0"/>
    <w:rsid w:val="00092533"/>
    <w:rsid w:val="000D5E0A"/>
    <w:rsid w:val="001136C9"/>
    <w:rsid w:val="001B65B6"/>
    <w:rsid w:val="00272E91"/>
    <w:rsid w:val="002C4576"/>
    <w:rsid w:val="003342B4"/>
    <w:rsid w:val="003C4F12"/>
    <w:rsid w:val="00441AB2"/>
    <w:rsid w:val="0046592B"/>
    <w:rsid w:val="0051623F"/>
    <w:rsid w:val="00572FAE"/>
    <w:rsid w:val="005A6AF6"/>
    <w:rsid w:val="006531B6"/>
    <w:rsid w:val="00693044"/>
    <w:rsid w:val="006F653C"/>
    <w:rsid w:val="00747E87"/>
    <w:rsid w:val="00774E8D"/>
    <w:rsid w:val="00794121"/>
    <w:rsid w:val="007E0A88"/>
    <w:rsid w:val="00816586"/>
    <w:rsid w:val="008432E7"/>
    <w:rsid w:val="00871F49"/>
    <w:rsid w:val="00915139"/>
    <w:rsid w:val="009539F1"/>
    <w:rsid w:val="0096202E"/>
    <w:rsid w:val="00972202"/>
    <w:rsid w:val="009948B9"/>
    <w:rsid w:val="009D0AFC"/>
    <w:rsid w:val="00A074DB"/>
    <w:rsid w:val="00A405AC"/>
    <w:rsid w:val="00AC5EEA"/>
    <w:rsid w:val="00AD342E"/>
    <w:rsid w:val="00AD6302"/>
    <w:rsid w:val="00AE34EE"/>
    <w:rsid w:val="00B626E7"/>
    <w:rsid w:val="00BA7754"/>
    <w:rsid w:val="00BF18A5"/>
    <w:rsid w:val="00C47C5D"/>
    <w:rsid w:val="00C532FF"/>
    <w:rsid w:val="00CB245B"/>
    <w:rsid w:val="00E162D3"/>
    <w:rsid w:val="00E33843"/>
    <w:rsid w:val="00E93115"/>
    <w:rsid w:val="00F01F55"/>
    <w:rsid w:val="00F0211B"/>
    <w:rsid w:val="00F02CD1"/>
    <w:rsid w:val="00F13E3B"/>
    <w:rsid w:val="00F346E2"/>
    <w:rsid w:val="00F40AC7"/>
    <w:rsid w:val="00F46EF6"/>
    <w:rsid w:val="00F51309"/>
    <w:rsid w:val="00F638FD"/>
    <w:rsid w:val="00FA4DD0"/>
    <w:rsid w:val="00FA6258"/>
    <w:rsid w:val="00FA6599"/>
    <w:rsid w:val="00FD5E6E"/>
    <w:rsid w:val="00FD689B"/>
    <w:rsid w:val="02324284"/>
    <w:rsid w:val="04385766"/>
    <w:rsid w:val="04766AC2"/>
    <w:rsid w:val="06970AFE"/>
    <w:rsid w:val="07487397"/>
    <w:rsid w:val="08CF0F53"/>
    <w:rsid w:val="08F36905"/>
    <w:rsid w:val="0C9A6779"/>
    <w:rsid w:val="0CAC683E"/>
    <w:rsid w:val="11AF5DB5"/>
    <w:rsid w:val="1241282B"/>
    <w:rsid w:val="132952D9"/>
    <w:rsid w:val="19182EDE"/>
    <w:rsid w:val="1A986916"/>
    <w:rsid w:val="1D4B03F7"/>
    <w:rsid w:val="2150673F"/>
    <w:rsid w:val="22501C4B"/>
    <w:rsid w:val="255162E3"/>
    <w:rsid w:val="268C629C"/>
    <w:rsid w:val="27107237"/>
    <w:rsid w:val="2879556F"/>
    <w:rsid w:val="29CB4ED1"/>
    <w:rsid w:val="29D207EC"/>
    <w:rsid w:val="2B7A1AB5"/>
    <w:rsid w:val="2D131158"/>
    <w:rsid w:val="309605F0"/>
    <w:rsid w:val="3163712D"/>
    <w:rsid w:val="33767124"/>
    <w:rsid w:val="35302B3B"/>
    <w:rsid w:val="357B1876"/>
    <w:rsid w:val="38D54ABD"/>
    <w:rsid w:val="3B11388E"/>
    <w:rsid w:val="3BEE7108"/>
    <w:rsid w:val="3CD23FF2"/>
    <w:rsid w:val="3F9F1564"/>
    <w:rsid w:val="40A23418"/>
    <w:rsid w:val="41427DE1"/>
    <w:rsid w:val="44A837BF"/>
    <w:rsid w:val="44CC2562"/>
    <w:rsid w:val="456D5E6F"/>
    <w:rsid w:val="46760E50"/>
    <w:rsid w:val="46B755FD"/>
    <w:rsid w:val="49455067"/>
    <w:rsid w:val="4B531CE7"/>
    <w:rsid w:val="4E8B53DA"/>
    <w:rsid w:val="50016283"/>
    <w:rsid w:val="531752F5"/>
    <w:rsid w:val="53705CCA"/>
    <w:rsid w:val="54913F28"/>
    <w:rsid w:val="550067DF"/>
    <w:rsid w:val="58A85F15"/>
    <w:rsid w:val="5C0F5D41"/>
    <w:rsid w:val="621C16B4"/>
    <w:rsid w:val="62BD7723"/>
    <w:rsid w:val="655A4224"/>
    <w:rsid w:val="65C902AB"/>
    <w:rsid w:val="6A2F719D"/>
    <w:rsid w:val="6CDF5D3B"/>
    <w:rsid w:val="6F0D3CB2"/>
    <w:rsid w:val="778659CE"/>
    <w:rsid w:val="7C217737"/>
    <w:rsid w:val="7C544EB1"/>
    <w:rsid w:val="7CA9592D"/>
    <w:rsid w:val="7F11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2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84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2E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8432E7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a6">
    <w:name w:val="表格文字"/>
    <w:basedOn w:val="a"/>
    <w:uiPriority w:val="99"/>
    <w:qFormat/>
    <w:rsid w:val="008432E7"/>
    <w:pPr>
      <w:spacing w:before="25" w:after="25"/>
    </w:pPr>
    <w:rPr>
      <w:b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7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342</Words>
  <Characters>1953</Characters>
  <Application>Microsoft Office Word</Application>
  <DocSecurity>0</DocSecurity>
  <Lines>16</Lines>
  <Paragraphs>4</Paragraphs>
  <ScaleCrop>false</ScaleCrop>
  <Company>china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32</cp:revision>
  <dcterms:created xsi:type="dcterms:W3CDTF">2015-06-17T12:51:00Z</dcterms:created>
  <dcterms:modified xsi:type="dcterms:W3CDTF">2020-09-16T08:32:00Z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