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重庆东晟来电力设备有限公司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E：28.04.02;28.07.01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O：28.04.02;28.07.01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刘长峰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E：28.04.02;28.07.01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O：28.04.02;28.07.01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王红梅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E：28.04.02;28.07.01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O：28.04.02;28.07.01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E：28.04.02;28.07.01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O：28.04.02;28.07.01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力工程施工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承装、承修、承试流程：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签订合同——施工组织设计——图纸会审——进场报验——技术交底——现场施工——阶段验收——预验收——竣工验收——移交。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施工、安装、检测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为关键过程。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电力技术服务流程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服务需求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提供方案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——签订协议——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实施合同/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协议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管理服务。</w:t>
            </w:r>
          </w:p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方案设计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为关键过程。</w:t>
            </w:r>
          </w:p>
          <w:p>
            <w:pPr>
              <w:rPr>
                <w:rFonts w:hint="eastAsia" w:ascii="宋体" w:hAnsi="宋体"/>
                <w:szCs w:val="21"/>
                <w:highlight w:val="gree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施工、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安装、检测、方案设计</w:t>
            </w:r>
            <w:bookmarkStart w:id="5" w:name="_GoBack"/>
            <w:bookmarkEnd w:id="5"/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1）火灾、爆炸（电气设备的运行）；2）固废的排放；3）噪声的排放。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管理方案控制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1）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火灾、爆炸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；2）</w:t>
            </w:r>
            <w:r>
              <w:rPr>
                <w:rFonts w:hint="eastAsia"/>
                <w:sz w:val="21"/>
                <w:szCs w:val="21"/>
                <w:highlight w:val="none"/>
              </w:rPr>
              <w:t>触电；3）职业病（粉尘、噪声、化学品挥发）；4）意外伤害（物体打击、坠落、机械伤害等）采取制定管理方案控制和应急预案并演练方式进行控制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电力工程施工、</w:t>
            </w:r>
            <w:r>
              <w:fldChar w:fldCharType="begin"/>
            </w:r>
            <w:r>
              <w:instrText xml:space="preserve"> HYPERLINK "http://www.cin.gov.cn/law/depart/2000110611-00.htm"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建设工程施工现场管理规定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微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机测试仪、继保测试仪、交直流电流表成套箱、电流互感器CT、数字电压表、直流电压表、直流电流表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、数字万用表、毫秒测试仪、频率表、高压耐压装置、避雷器阻性测试仪、经纬仪、全站仪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等测试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B4B69"/>
    <w:rsid w:val="0C764988"/>
    <w:rsid w:val="48C41E8B"/>
    <w:rsid w:val="5C803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2019-09-27T01:23:46Z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