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80" w:lineRule="auto"/>
        <w:rPr>
          <w:b/>
        </w:rPr>
      </w:pPr>
    </w:p>
    <w:p>
      <w:pPr>
        <w:snapToGrid w:val="0"/>
        <w:spacing w:line="480" w:lineRule="auto"/>
        <w:jc w:val="center"/>
        <w:rPr>
          <w:rFonts w:eastAsia="隶书"/>
          <w:sz w:val="52"/>
        </w:rPr>
      </w:pPr>
    </w:p>
    <w:p>
      <w:pPr>
        <w:snapToGrid w:val="0"/>
        <w:spacing w:line="480" w:lineRule="auto"/>
        <w:jc w:val="center"/>
        <w:rPr>
          <w:rFonts w:eastAsia="隶书"/>
          <w:sz w:val="52"/>
        </w:rPr>
      </w:pPr>
    </w:p>
    <w:p>
      <w:pPr>
        <w:snapToGrid w:val="0"/>
        <w:spacing w:line="480" w:lineRule="auto"/>
        <w:jc w:val="center"/>
        <w:rPr>
          <w:rFonts w:eastAsia="隶书"/>
          <w:sz w:val="52"/>
        </w:rPr>
      </w:pPr>
      <w:r>
        <w:pict>
          <v:shape id="图片 24" o:spid="_x0000_s2050" o:spt="75" type="#_x0000_t75" style="position:absolute;left:0pt;margin-left:169.75pt;margin-top:-36.8pt;height:117.35pt;width:135.75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5" o:title=""/>
            <o:lock v:ext="edit" aspectratio="t"/>
            <w10:wrap type="tight"/>
          </v:shape>
        </w:pict>
      </w:r>
    </w:p>
    <w:p>
      <w:pPr>
        <w:snapToGrid w:val="0"/>
        <w:spacing w:line="480" w:lineRule="auto"/>
        <w:jc w:val="center"/>
        <w:rPr>
          <w:rFonts w:eastAsia="隶书"/>
          <w:sz w:val="52"/>
        </w:rPr>
      </w:pPr>
    </w:p>
    <w:p>
      <w:pPr>
        <w:snapToGrid w:val="0"/>
        <w:jc w:val="center"/>
        <w:rPr>
          <w:rFonts w:ascii="楷体_GB2312" w:eastAsia="楷体_GB2312"/>
          <w:b/>
          <w:sz w:val="80"/>
          <w:szCs w:val="80"/>
        </w:rPr>
      </w:pPr>
      <w:r>
        <w:rPr>
          <w:rFonts w:hint="eastAsia" w:ascii="楷体_GB2312" w:eastAsia="楷体_GB2312"/>
          <w:b/>
          <w:sz w:val="80"/>
          <w:szCs w:val="80"/>
        </w:rPr>
        <w:t>监督审核报告</w:t>
      </w:r>
    </w:p>
    <w:p>
      <w:pPr>
        <w:snapToGrid w:val="0"/>
        <w:spacing w:line="360" w:lineRule="auto"/>
        <w:ind w:firstLine="450" w:firstLineChars="150"/>
        <w:rPr>
          <w:sz w:val="30"/>
          <w:szCs w:val="30"/>
        </w:rPr>
      </w:pPr>
    </w:p>
    <w:p>
      <w:pPr>
        <w:snapToGrid w:val="0"/>
        <w:spacing w:line="360" w:lineRule="auto"/>
        <w:rPr>
          <w:b/>
          <w:sz w:val="30"/>
          <w:szCs w:val="30"/>
        </w:rPr>
      </w:pPr>
    </w:p>
    <w:p>
      <w:pPr>
        <w:snapToGrid w:val="0"/>
        <w:spacing w:after="98" w:afterLines="30"/>
        <w:ind w:firstLine="321" w:firstLineChars="100"/>
        <w:rPr>
          <w:rFonts w:ascii="楷体" w:hAnsi="楷体" w:eastAsia="楷体"/>
          <w:b/>
          <w:color w:val="000000"/>
          <w:sz w:val="32"/>
          <w:szCs w:val="32"/>
          <w:u w:val="single"/>
        </w:rPr>
      </w:pPr>
      <w:r>
        <w:rPr>
          <w:rFonts w:hint="eastAsia" w:ascii="楷体" w:hAnsi="楷体" w:eastAsia="楷体"/>
          <w:b/>
          <w:color w:val="000000"/>
          <w:sz w:val="32"/>
          <w:szCs w:val="32"/>
        </w:rPr>
        <w:t>受审核方：成都金戈石油机械有限公司</w:t>
      </w:r>
    </w:p>
    <w:p>
      <w:pPr>
        <w:snapToGrid w:val="0"/>
        <w:spacing w:after="98" w:afterLines="30"/>
        <w:rPr>
          <w:rFonts w:ascii="楷体" w:hAnsi="楷体" w:eastAsia="楷体"/>
          <w:b/>
          <w:color w:val="000000"/>
          <w:sz w:val="32"/>
          <w:szCs w:val="32"/>
        </w:rPr>
      </w:pPr>
    </w:p>
    <w:p>
      <w:pPr>
        <w:snapToGrid w:val="0"/>
        <w:spacing w:after="98" w:afterLines="30"/>
        <w:ind w:firstLine="321" w:firstLineChars="1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8" w:afterLines="30"/>
        <w:ind w:firstLine="957" w:firstLineChars="298"/>
        <w:rPr>
          <w:rFonts w:ascii="楷体" w:hAnsi="楷体" w:eastAsia="楷体"/>
          <w:b/>
          <w:color w:val="000000"/>
          <w:sz w:val="32"/>
          <w:szCs w:val="32"/>
        </w:rPr>
      </w:pPr>
      <w:bookmarkStart w:id="0" w:name="Q勾选15"/>
      <w:r>
        <w:rPr>
          <w:rFonts w:hint="eastAsia" w:ascii="楷体" w:hAnsi="楷体" w:eastAsia="楷体"/>
          <w:b/>
          <w:color w:val="000000"/>
          <w:sz w:val="32"/>
          <w:szCs w:val="32"/>
        </w:rPr>
        <w:t>■</w:t>
      </w:r>
      <w:bookmarkEnd w:id="0"/>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bookmarkStart w:id="1" w:name="QJ勾选"/>
      <w:r>
        <w:rPr>
          <w:rFonts w:hint="eastAsia" w:ascii="楷体" w:hAnsi="楷体" w:eastAsia="楷体"/>
          <w:b/>
          <w:color w:val="000000"/>
          <w:sz w:val="32"/>
          <w:szCs w:val="32"/>
        </w:rPr>
        <w:t>□</w:t>
      </w:r>
      <w:bookmarkEnd w:id="1"/>
      <w:r>
        <w:rPr>
          <w:rFonts w:hint="eastAsia" w:ascii="楷体" w:hAnsi="楷体" w:eastAsia="楷体"/>
          <w:b/>
          <w:color w:val="000000"/>
          <w:sz w:val="32"/>
          <w:szCs w:val="32"/>
        </w:rPr>
        <w:t>5</w:t>
      </w:r>
      <w:r>
        <w:rPr>
          <w:rFonts w:ascii="楷体" w:hAnsi="楷体" w:eastAsia="楷体"/>
          <w:b/>
          <w:color w:val="000000"/>
          <w:sz w:val="32"/>
          <w:szCs w:val="32"/>
        </w:rPr>
        <w:t>0430</w:t>
      </w:r>
      <w:r>
        <w:rPr>
          <w:rFonts w:ascii="楷体_GB2312" w:eastAsia="楷体_GB2312"/>
          <w:sz w:val="32"/>
          <w:szCs w:val="32"/>
        </w:rPr>
        <w:t>(</w:t>
      </w:r>
      <w:r>
        <w:rPr>
          <w:rFonts w:hint="eastAsia" w:ascii="楷体_GB2312" w:eastAsia="楷体_GB2312"/>
          <w:b/>
          <w:sz w:val="32"/>
          <w:szCs w:val="32"/>
        </w:rPr>
        <w:t>第次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2" w:name="E勾选"/>
      <w:r>
        <w:rPr>
          <w:rFonts w:hint="eastAsia" w:ascii="楷体" w:hAnsi="楷体" w:eastAsia="楷体"/>
          <w:b/>
          <w:color w:val="000000"/>
          <w:sz w:val="32"/>
          <w:szCs w:val="32"/>
        </w:rPr>
        <w:t>□</w:t>
      </w:r>
      <w:bookmarkEnd w:id="2"/>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3" w:name="S勾选"/>
      <w:r>
        <w:rPr>
          <w:rFonts w:hint="eastAsia" w:ascii="楷体" w:hAnsi="楷体" w:eastAsia="楷体"/>
          <w:b/>
          <w:color w:val="000000"/>
          <w:sz w:val="32"/>
          <w:szCs w:val="32"/>
        </w:rPr>
        <w:t>□</w:t>
      </w:r>
      <w:bookmarkEnd w:id="3"/>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第次</w:t>
      </w:r>
      <w:r>
        <w:rPr>
          <w:rFonts w:ascii="楷体_GB2312" w:eastAsia="楷体_GB2312"/>
          <w:sz w:val="32"/>
          <w:szCs w:val="32"/>
        </w:rPr>
        <w:t>)</w:t>
      </w:r>
    </w:p>
    <w:p>
      <w:pPr>
        <w:snapToGrid w:val="0"/>
        <w:spacing w:line="480" w:lineRule="auto"/>
        <w:ind w:left="850"/>
        <w:rPr>
          <w:rFonts w:ascii="楷体" w:hAnsi="楷体" w:eastAsia="楷体"/>
          <w:b/>
          <w:color w:val="000000"/>
          <w:sz w:val="32"/>
          <w:szCs w:val="32"/>
        </w:rPr>
      </w:pPr>
    </w:p>
    <w:p>
      <w:pPr>
        <w:snapToGrid w:val="0"/>
        <w:spacing w:line="480" w:lineRule="auto"/>
        <w:ind w:left="850"/>
        <w:rPr>
          <w:rFonts w:eastAsia="楷体_GB2312"/>
          <w:sz w:val="32"/>
        </w:rPr>
      </w:pPr>
    </w:p>
    <w:p>
      <w:pPr>
        <w:snapToGrid w:val="0"/>
        <w:spacing w:after="98" w:afterLines="30"/>
        <w:jc w:val="center"/>
        <w:rPr>
          <w:rFonts w:ascii="楷体" w:hAnsi="楷体" w:eastAsia="楷体"/>
          <w:b/>
          <w:color w:val="000000"/>
          <w:sz w:val="36"/>
          <w:szCs w:val="36"/>
        </w:rPr>
      </w:pPr>
      <w:r>
        <w:rPr>
          <w:rFonts w:hint="eastAsia" w:ascii="楷体" w:hAnsi="楷体" w:eastAsia="楷体"/>
          <w:b/>
          <w:color w:val="000000"/>
          <w:sz w:val="36"/>
          <w:szCs w:val="36"/>
        </w:rPr>
        <w:t>北京国标联合认证有限公司</w:t>
      </w:r>
    </w:p>
    <w:p>
      <w:pPr>
        <w:widowControl/>
        <w:ind w:firstLine="2512" w:firstLineChars="695"/>
        <w:jc w:val="left"/>
        <w:rPr>
          <w:rFonts w:ascii="楷体" w:hAnsi="楷体" w:eastAsia="楷体"/>
          <w:b/>
          <w:color w:val="000000"/>
          <w:sz w:val="36"/>
          <w:szCs w:val="36"/>
        </w:rPr>
      </w:pPr>
      <w:r>
        <w:rPr>
          <w:rFonts w:hint="eastAsia" w:ascii="楷体" w:hAnsi="楷体" w:eastAsia="楷体"/>
          <w:b/>
          <w:color w:val="000000"/>
          <w:sz w:val="36"/>
          <w:szCs w:val="36"/>
        </w:rPr>
        <w:t>网址：</w:t>
      </w:r>
      <w:r>
        <w:rPr>
          <w:rFonts w:ascii="楷体" w:hAnsi="楷体" w:eastAsia="楷体"/>
          <w:b/>
          <w:color w:val="000000"/>
          <w:sz w:val="36"/>
          <w:szCs w:val="36"/>
        </w:rPr>
        <w:t>www.</w:t>
      </w:r>
      <w:r>
        <w:rPr>
          <w:rFonts w:hint="eastAsia" w:ascii="楷体" w:hAnsi="楷体" w:eastAsia="楷体"/>
          <w:b/>
          <w:color w:val="000000"/>
          <w:sz w:val="36"/>
          <w:szCs w:val="36"/>
        </w:rPr>
        <w:t>china-isc.org.cn</w:t>
      </w:r>
    </w:p>
    <w:p>
      <w:pPr>
        <w:ind w:firstLine="522" w:firstLineChars="200"/>
        <w:rPr>
          <w:rFonts w:hint="eastAsia" w:ascii="宋体" w:hAnsi="宋体"/>
          <w:b/>
          <w:color w:val="000000"/>
          <w:sz w:val="26"/>
          <w:szCs w:val="26"/>
        </w:rPr>
      </w:pPr>
    </w:p>
    <w:p>
      <w:pPr>
        <w:ind w:firstLine="522" w:firstLineChars="200"/>
        <w:rPr>
          <w:rFonts w:hint="eastAsia" w:ascii="宋体" w:hAnsi="宋体"/>
          <w:b/>
          <w:color w:val="000000"/>
          <w:sz w:val="26"/>
          <w:szCs w:val="26"/>
        </w:rPr>
      </w:pPr>
    </w:p>
    <w:p>
      <w:pPr>
        <w:ind w:firstLine="522" w:firstLineChars="200"/>
        <w:rPr>
          <w:rFonts w:ascii="宋体"/>
          <w:b/>
          <w:color w:val="000000"/>
          <w:sz w:val="26"/>
          <w:szCs w:val="26"/>
        </w:rPr>
      </w:pPr>
      <w:r>
        <w:rPr>
          <w:rFonts w:hint="eastAsia" w:ascii="宋体" w:hAnsi="宋体"/>
          <w:b/>
          <w:color w:val="000000"/>
          <w:sz w:val="26"/>
          <w:szCs w:val="26"/>
        </w:rPr>
        <w:t>一、审核方基本信息</w:t>
      </w:r>
    </w:p>
    <w:tbl>
      <w:tblPr>
        <w:tblStyle w:val="7"/>
        <w:tblW w:w="983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541"/>
        <w:gridCol w:w="283"/>
        <w:gridCol w:w="1559"/>
        <w:gridCol w:w="1277"/>
        <w:gridCol w:w="1699"/>
        <w:gridCol w:w="993"/>
        <w:gridCol w:w="735"/>
        <w:gridCol w:w="115"/>
        <w:gridCol w:w="1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559" w:type="dxa"/>
            <w:gridSpan w:val="2"/>
            <w:vAlign w:val="center"/>
          </w:tcPr>
          <w:p>
            <w:pPr>
              <w:rPr>
                <w:b/>
                <w:sz w:val="21"/>
                <w:szCs w:val="21"/>
              </w:rPr>
            </w:pPr>
            <w:r>
              <w:rPr>
                <w:rFonts w:hint="eastAsia"/>
                <w:b/>
                <w:sz w:val="21"/>
                <w:szCs w:val="21"/>
              </w:rPr>
              <w:t>审核方名称</w:t>
            </w:r>
          </w:p>
        </w:tc>
        <w:tc>
          <w:tcPr>
            <w:tcW w:w="8275" w:type="dxa"/>
            <w:gridSpan w:val="8"/>
          </w:tcPr>
          <w:p>
            <w:pPr>
              <w:rPr>
                <w:b/>
                <w:sz w:val="21"/>
                <w:szCs w:val="21"/>
              </w:rPr>
            </w:pPr>
            <w:r>
              <w:rPr>
                <w:rFonts w:hint="eastAsia"/>
                <w:b/>
                <w:sz w:val="21"/>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审核方地址</w:t>
            </w:r>
          </w:p>
        </w:tc>
        <w:tc>
          <w:tcPr>
            <w:tcW w:w="5811" w:type="dxa"/>
            <w:gridSpan w:val="5"/>
          </w:tcPr>
          <w:p>
            <w:pPr>
              <w:rPr>
                <w:b/>
                <w:sz w:val="21"/>
                <w:szCs w:val="21"/>
              </w:rPr>
            </w:pPr>
            <w:r>
              <w:rPr>
                <w:rFonts w:hint="eastAsia"/>
                <w:b/>
                <w:sz w:val="21"/>
                <w:szCs w:val="21"/>
              </w:rPr>
              <w:t>北京市朝阳区北苑路168号1号楼16层1603</w:t>
            </w:r>
          </w:p>
        </w:tc>
        <w:tc>
          <w:tcPr>
            <w:tcW w:w="850" w:type="dxa"/>
            <w:gridSpan w:val="2"/>
          </w:tcPr>
          <w:p>
            <w:pPr>
              <w:rPr>
                <w:b/>
                <w:sz w:val="21"/>
                <w:szCs w:val="21"/>
              </w:rPr>
            </w:pPr>
            <w:r>
              <w:rPr>
                <w:rFonts w:hint="eastAsia"/>
                <w:b/>
                <w:sz w:val="21"/>
                <w:szCs w:val="21"/>
              </w:rPr>
              <w:t>邮编</w:t>
            </w:r>
          </w:p>
        </w:tc>
        <w:tc>
          <w:tcPr>
            <w:tcW w:w="1614" w:type="dxa"/>
          </w:tcPr>
          <w:p>
            <w:pPr>
              <w:rPr>
                <w:b/>
                <w:sz w:val="21"/>
                <w:szCs w:val="21"/>
              </w:rPr>
            </w:pPr>
            <w:r>
              <w:rPr>
                <w:rFonts w:hint="eastAsia"/>
                <w:b/>
                <w:sz w:val="21"/>
                <w:szCs w:val="21"/>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联系电话</w:t>
            </w:r>
          </w:p>
        </w:tc>
        <w:tc>
          <w:tcPr>
            <w:tcW w:w="8275" w:type="dxa"/>
            <w:gridSpan w:val="8"/>
          </w:tcPr>
          <w:p>
            <w:pPr>
              <w:rPr>
                <w:b/>
                <w:sz w:val="21"/>
                <w:szCs w:val="21"/>
              </w:rPr>
            </w:pPr>
            <w:r>
              <w:rPr>
                <w:b/>
                <w:sz w:val="21"/>
                <w:szCs w:val="21"/>
              </w:rPr>
              <w:t>010</w:t>
            </w:r>
            <w:r>
              <w:rPr>
                <w:rFonts w:hint="eastAsia"/>
                <w:b/>
                <w:sz w:val="21"/>
                <w:szCs w:val="21"/>
              </w:rPr>
              <w:t>-5351 6278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34" w:type="dxa"/>
            <w:gridSpan w:val="10"/>
          </w:tcPr>
          <w:p>
            <w:pPr>
              <w:rPr>
                <w:b/>
                <w:sz w:val="21"/>
                <w:szCs w:val="21"/>
              </w:rPr>
            </w:pPr>
            <w:r>
              <w:rPr>
                <w:rFonts w:hint="eastAsia"/>
                <w:b/>
                <w:sz w:val="21"/>
                <w:szCs w:val="21"/>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职务</w:t>
            </w:r>
          </w:p>
        </w:tc>
        <w:tc>
          <w:tcPr>
            <w:tcW w:w="1277" w:type="dxa"/>
            <w:vAlign w:val="center"/>
          </w:tcPr>
          <w:p>
            <w:pPr>
              <w:jc w:val="center"/>
              <w:rPr>
                <w:b/>
                <w:sz w:val="21"/>
                <w:szCs w:val="21"/>
              </w:rPr>
            </w:pPr>
            <w:r>
              <w:rPr>
                <w:rFonts w:hint="eastAsia"/>
                <w:b/>
                <w:sz w:val="21"/>
                <w:szCs w:val="21"/>
              </w:rPr>
              <w:t>注册级别</w:t>
            </w:r>
          </w:p>
        </w:tc>
        <w:tc>
          <w:tcPr>
            <w:tcW w:w="1699" w:type="dxa"/>
            <w:vAlign w:val="center"/>
          </w:tcPr>
          <w:p>
            <w:pPr>
              <w:jc w:val="center"/>
              <w:rPr>
                <w:b/>
                <w:sz w:val="21"/>
                <w:szCs w:val="21"/>
              </w:rPr>
            </w:pPr>
            <w:r>
              <w:rPr>
                <w:rFonts w:hint="eastAsia"/>
                <w:b/>
                <w:sz w:val="21"/>
                <w:szCs w:val="21"/>
              </w:rPr>
              <w:t>审核员注册号</w:t>
            </w:r>
          </w:p>
        </w:tc>
        <w:tc>
          <w:tcPr>
            <w:tcW w:w="1728" w:type="dxa"/>
            <w:gridSpan w:val="2"/>
            <w:vAlign w:val="center"/>
          </w:tcPr>
          <w:p>
            <w:pPr>
              <w:jc w:val="center"/>
              <w:rPr>
                <w:b/>
                <w:sz w:val="21"/>
                <w:szCs w:val="21"/>
              </w:rPr>
            </w:pPr>
            <w:r>
              <w:rPr>
                <w:rFonts w:hint="eastAsia"/>
                <w:b/>
                <w:sz w:val="21"/>
                <w:szCs w:val="21"/>
              </w:rPr>
              <w:t>专业代码</w:t>
            </w:r>
          </w:p>
        </w:tc>
        <w:tc>
          <w:tcPr>
            <w:tcW w:w="1729" w:type="dxa"/>
            <w:gridSpan w:val="2"/>
            <w:vAlign w:val="center"/>
          </w:tcPr>
          <w:p>
            <w:pPr>
              <w:jc w:val="center"/>
              <w:rPr>
                <w:b/>
                <w:sz w:val="21"/>
                <w:szCs w:val="21"/>
              </w:rPr>
            </w:pPr>
            <w:r>
              <w:rPr>
                <w:rFonts w:hint="eastAsia"/>
                <w:b/>
                <w:sz w:val="21"/>
                <w:szCs w:val="21"/>
              </w:rPr>
              <w:t>组内代号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李俐</w:t>
            </w:r>
          </w:p>
        </w:tc>
        <w:tc>
          <w:tcPr>
            <w:tcW w:w="824" w:type="dxa"/>
            <w:gridSpan w:val="2"/>
            <w:vAlign w:val="center"/>
          </w:tcPr>
          <w:p>
            <w:pPr>
              <w:jc w:val="center"/>
              <w:rPr>
                <w:b/>
                <w:sz w:val="21"/>
                <w:szCs w:val="21"/>
              </w:rPr>
            </w:pPr>
            <w:r>
              <w:rPr>
                <w:b/>
                <w:sz w:val="21"/>
                <w:szCs w:val="21"/>
              </w:rPr>
              <w:t>女</w:t>
            </w:r>
          </w:p>
        </w:tc>
        <w:tc>
          <w:tcPr>
            <w:tcW w:w="1559" w:type="dxa"/>
            <w:vAlign w:val="center"/>
          </w:tcPr>
          <w:p>
            <w:pPr>
              <w:jc w:val="center"/>
              <w:rPr>
                <w:b/>
                <w:sz w:val="21"/>
                <w:szCs w:val="21"/>
              </w:rPr>
            </w:pPr>
            <w:r>
              <w:rPr>
                <w:b/>
                <w:sz w:val="21"/>
                <w:szCs w:val="21"/>
              </w:rPr>
              <w:t>组长</w:t>
            </w:r>
          </w:p>
        </w:tc>
        <w:tc>
          <w:tcPr>
            <w:tcW w:w="1277" w:type="dxa"/>
            <w:vAlign w:val="center"/>
          </w:tcPr>
          <w:p>
            <w:pPr>
              <w:jc w:val="center"/>
              <w:rPr>
                <w:b/>
                <w:sz w:val="21"/>
                <w:szCs w:val="21"/>
              </w:rPr>
            </w:pPr>
            <w:r>
              <w:rPr>
                <w:b/>
                <w:sz w:val="21"/>
                <w:szCs w:val="21"/>
              </w:rPr>
              <w:t>审核员</w:t>
            </w:r>
          </w:p>
        </w:tc>
        <w:tc>
          <w:tcPr>
            <w:tcW w:w="1699" w:type="dxa"/>
            <w:vAlign w:val="center"/>
          </w:tcPr>
          <w:p>
            <w:pPr>
              <w:jc w:val="center"/>
              <w:rPr>
                <w:b/>
                <w:sz w:val="21"/>
                <w:szCs w:val="21"/>
              </w:rPr>
            </w:pPr>
            <w:r>
              <w:rPr>
                <w:b/>
                <w:sz w:val="21"/>
                <w:szCs w:val="21"/>
              </w:rPr>
              <w:t>2018-N1QMS-1222792</w:t>
            </w:r>
          </w:p>
        </w:tc>
        <w:tc>
          <w:tcPr>
            <w:tcW w:w="1728" w:type="dxa"/>
            <w:gridSpan w:val="2"/>
            <w:vAlign w:val="center"/>
          </w:tcPr>
          <w:p>
            <w:pPr>
              <w:jc w:val="center"/>
              <w:rPr>
                <w:b/>
                <w:sz w:val="21"/>
                <w:szCs w:val="21"/>
              </w:rPr>
            </w:pPr>
            <w:r>
              <w:rPr>
                <w:b/>
                <w:sz w:val="21"/>
                <w:szCs w:val="21"/>
              </w:rPr>
              <w:t>18.05.02,18.08.00,34.06.00</w:t>
            </w:r>
          </w:p>
        </w:tc>
        <w:tc>
          <w:tcPr>
            <w:tcW w:w="1729" w:type="dxa"/>
            <w:gridSpan w:val="2"/>
            <w:vAlign w:val="center"/>
          </w:tcPr>
          <w:p>
            <w:pPr>
              <w:jc w:val="center"/>
              <w:rPr>
                <w:b/>
                <w:sz w:val="21"/>
                <w:szCs w:val="21"/>
              </w:rPr>
            </w:pPr>
            <w:r>
              <w:rPr>
                <w:b/>
                <w:sz w:val="21"/>
                <w:szCs w:val="21"/>
              </w:rPr>
              <w:t>ISC[S]0008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刘国斌</w:t>
            </w:r>
          </w:p>
        </w:tc>
        <w:tc>
          <w:tcPr>
            <w:tcW w:w="824" w:type="dxa"/>
            <w:gridSpan w:val="2"/>
            <w:vAlign w:val="center"/>
          </w:tcPr>
          <w:p>
            <w:pPr>
              <w:jc w:val="center"/>
              <w:rPr>
                <w:b/>
                <w:sz w:val="21"/>
                <w:szCs w:val="21"/>
              </w:rPr>
            </w:pPr>
            <w:r>
              <w:rPr>
                <w:b/>
                <w:sz w:val="21"/>
                <w:szCs w:val="21"/>
              </w:rPr>
              <w:t>男</w:t>
            </w:r>
          </w:p>
        </w:tc>
        <w:tc>
          <w:tcPr>
            <w:tcW w:w="1559" w:type="dxa"/>
            <w:vAlign w:val="center"/>
          </w:tcPr>
          <w:p>
            <w:pPr>
              <w:jc w:val="center"/>
              <w:rPr>
                <w:b/>
                <w:sz w:val="21"/>
                <w:szCs w:val="21"/>
              </w:rPr>
            </w:pPr>
            <w:r>
              <w:rPr>
                <w:b/>
                <w:sz w:val="21"/>
                <w:szCs w:val="21"/>
              </w:rPr>
              <w:t>组员</w:t>
            </w:r>
          </w:p>
        </w:tc>
        <w:tc>
          <w:tcPr>
            <w:tcW w:w="1277" w:type="dxa"/>
            <w:vAlign w:val="center"/>
          </w:tcPr>
          <w:p>
            <w:pPr>
              <w:jc w:val="center"/>
              <w:rPr>
                <w:b/>
                <w:sz w:val="21"/>
                <w:szCs w:val="21"/>
              </w:rPr>
            </w:pPr>
            <w:r>
              <w:rPr>
                <w:b/>
                <w:sz w:val="21"/>
                <w:szCs w:val="21"/>
              </w:rPr>
              <w:t>专家</w:t>
            </w:r>
          </w:p>
          <w:p>
            <w:pPr>
              <w:jc w:val="center"/>
              <w:rPr>
                <w:b/>
                <w:sz w:val="21"/>
                <w:szCs w:val="21"/>
              </w:rPr>
            </w:pPr>
          </w:p>
        </w:tc>
        <w:tc>
          <w:tcPr>
            <w:tcW w:w="1699" w:type="dxa"/>
            <w:vAlign w:val="center"/>
          </w:tcPr>
          <w:p>
            <w:pPr>
              <w:jc w:val="center"/>
              <w:rPr>
                <w:b/>
                <w:sz w:val="21"/>
                <w:szCs w:val="21"/>
              </w:rPr>
            </w:pPr>
            <w:r>
              <w:rPr>
                <w:b/>
                <w:sz w:val="21"/>
                <w:szCs w:val="21"/>
              </w:rPr>
              <w:t>宝鸡市通华石油设备制造有限公司</w:t>
            </w:r>
          </w:p>
        </w:tc>
        <w:tc>
          <w:tcPr>
            <w:tcW w:w="1728" w:type="dxa"/>
            <w:gridSpan w:val="2"/>
            <w:vAlign w:val="center"/>
          </w:tcPr>
          <w:p>
            <w:pPr>
              <w:jc w:val="center"/>
              <w:rPr>
                <w:b/>
                <w:sz w:val="21"/>
                <w:szCs w:val="21"/>
              </w:rPr>
            </w:pPr>
            <w:r>
              <w:rPr>
                <w:b/>
                <w:sz w:val="21"/>
                <w:szCs w:val="21"/>
              </w:rPr>
              <w:t>39.03.02</w:t>
            </w:r>
          </w:p>
        </w:tc>
        <w:tc>
          <w:tcPr>
            <w:tcW w:w="1729" w:type="dxa"/>
            <w:gridSpan w:val="2"/>
            <w:vAlign w:val="center"/>
          </w:tcPr>
          <w:p>
            <w:pPr>
              <w:jc w:val="center"/>
              <w:rPr>
                <w:b/>
                <w:sz w:val="21"/>
                <w:szCs w:val="21"/>
              </w:rPr>
            </w:pPr>
            <w:r>
              <w:rPr>
                <w:b/>
                <w:sz w:val="21"/>
                <w:szCs w:val="21"/>
              </w:rPr>
              <w:t>ISC-JSZJ-018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834" w:type="dxa"/>
            <w:gridSpan w:val="10"/>
          </w:tcPr>
          <w:p>
            <w:pPr>
              <w:rPr>
                <w:b/>
                <w:sz w:val="21"/>
                <w:szCs w:val="21"/>
              </w:rPr>
            </w:pPr>
            <w:r>
              <w:rPr>
                <w:rFonts w:hint="eastAsia"/>
                <w:b/>
                <w:sz w:val="21"/>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角色</w:t>
            </w:r>
          </w:p>
        </w:tc>
        <w:tc>
          <w:tcPr>
            <w:tcW w:w="6433" w:type="dxa"/>
            <w:gridSpan w:val="6"/>
            <w:vAlign w:val="center"/>
          </w:tcPr>
          <w:p>
            <w:pPr>
              <w:rPr>
                <w:b/>
                <w:sz w:val="21"/>
                <w:szCs w:val="21"/>
              </w:rPr>
            </w:pPr>
            <w:r>
              <w:rPr>
                <w:rFonts w:hint="eastAsia"/>
                <w:b/>
                <w:sz w:val="21"/>
                <w:szCs w:val="21"/>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p>
        </w:tc>
        <w:tc>
          <w:tcPr>
            <w:tcW w:w="824" w:type="dxa"/>
            <w:gridSpan w:val="2"/>
            <w:vAlign w:val="center"/>
          </w:tcPr>
          <w:p>
            <w:pPr>
              <w:jc w:val="center"/>
              <w:rPr>
                <w:b/>
                <w:sz w:val="21"/>
                <w:szCs w:val="21"/>
              </w:rPr>
            </w:pPr>
          </w:p>
        </w:tc>
        <w:tc>
          <w:tcPr>
            <w:tcW w:w="1559" w:type="dxa"/>
            <w:vAlign w:val="center"/>
          </w:tcPr>
          <w:p>
            <w:pPr>
              <w:jc w:val="center"/>
              <w:rPr>
                <w:b/>
                <w:sz w:val="21"/>
                <w:szCs w:val="21"/>
              </w:rPr>
            </w:pPr>
          </w:p>
        </w:tc>
        <w:tc>
          <w:tcPr>
            <w:tcW w:w="6433" w:type="dxa"/>
            <w:gridSpan w:val="6"/>
            <w:vAlign w:val="center"/>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vAlign w:val="center"/>
          </w:tcPr>
          <w:p>
            <w:pPr>
              <w:jc w:val="center"/>
              <w:rPr>
                <w:b/>
              </w:rPr>
            </w:pPr>
          </w:p>
        </w:tc>
        <w:tc>
          <w:tcPr>
            <w:tcW w:w="6433" w:type="dxa"/>
            <w:gridSpan w:val="6"/>
            <w:vAlign w:val="center"/>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vAlign w:val="center"/>
          </w:tcPr>
          <w:p>
            <w:pPr>
              <w:jc w:val="center"/>
              <w:rPr>
                <w:b/>
              </w:rPr>
            </w:pPr>
          </w:p>
        </w:tc>
        <w:tc>
          <w:tcPr>
            <w:tcW w:w="6433" w:type="dxa"/>
            <w:gridSpan w:val="6"/>
            <w:vAlign w:val="center"/>
          </w:tcPr>
          <w:p>
            <w:pPr>
              <w:rPr>
                <w:b/>
              </w:rPr>
            </w:pPr>
          </w:p>
        </w:tc>
      </w:tr>
    </w:tbl>
    <w:p>
      <w:pPr>
        <w:tabs>
          <w:tab w:val="left" w:pos="645"/>
        </w:tabs>
        <w:rPr>
          <w:b/>
          <w:sz w:val="26"/>
          <w:szCs w:val="26"/>
        </w:rPr>
      </w:pPr>
      <w:r>
        <w:rPr>
          <w:rFonts w:hint="eastAsia"/>
          <w:b/>
          <w:sz w:val="26"/>
          <w:szCs w:val="26"/>
        </w:rPr>
        <w:t>二、审核目的</w:t>
      </w:r>
    </w:p>
    <w:p>
      <w:pPr>
        <w:tabs>
          <w:tab w:val="left" w:pos="645"/>
        </w:tabs>
        <w:rPr>
          <w:b/>
          <w:sz w:val="21"/>
          <w:szCs w:val="21"/>
        </w:rPr>
      </w:pPr>
      <w:bookmarkStart w:id="4" w:name="审核目的"/>
      <w:r>
        <w:rPr>
          <w:rFonts w:hint="eastAsia"/>
          <w:b/>
          <w:sz w:val="21"/>
          <w:szCs w:val="21"/>
        </w:rPr>
        <w:t>□认证注册：__________</w:t>
      </w:r>
    </w:p>
    <w:p>
      <w:pPr>
        <w:tabs>
          <w:tab w:val="left" w:pos="645"/>
        </w:tabs>
        <w:rPr>
          <w:rFonts w:hint="eastAsia"/>
          <w:b/>
          <w:sz w:val="21"/>
          <w:szCs w:val="21"/>
        </w:rPr>
      </w:pPr>
      <w:r>
        <w:rPr>
          <w:rFonts w:hint="eastAsia"/>
          <w:b/>
          <w:sz w:val="21"/>
          <w:szCs w:val="21"/>
          <w:lang w:eastAsia="zh-CN"/>
        </w:rPr>
        <w:t>☑</w:t>
      </w:r>
      <w:r>
        <w:rPr>
          <w:rFonts w:hint="eastAsia"/>
          <w:b/>
          <w:sz w:val="21"/>
          <w:szCs w:val="21"/>
        </w:rPr>
        <w:t>保持认证注册资格：__________</w:t>
      </w:r>
    </w:p>
    <w:p>
      <w:pPr>
        <w:tabs>
          <w:tab w:val="left" w:pos="645"/>
        </w:tabs>
        <w:rPr>
          <w:rFonts w:hint="eastAsia"/>
          <w:b/>
          <w:sz w:val="21"/>
          <w:szCs w:val="21"/>
        </w:rPr>
      </w:pPr>
      <w:r>
        <w:rPr>
          <w:rFonts w:hint="eastAsia"/>
          <w:b/>
          <w:sz w:val="21"/>
          <w:szCs w:val="21"/>
        </w:rPr>
        <w:t>□恢复认证注册资格：__________</w:t>
      </w:r>
    </w:p>
    <w:p>
      <w:pPr>
        <w:tabs>
          <w:tab w:val="left" w:pos="645"/>
        </w:tabs>
        <w:rPr>
          <w:rFonts w:hint="eastAsia"/>
          <w:b/>
          <w:sz w:val="21"/>
          <w:szCs w:val="21"/>
        </w:rPr>
      </w:pPr>
      <w:r>
        <w:rPr>
          <w:rFonts w:hint="eastAsia"/>
          <w:b/>
          <w:sz w:val="21"/>
          <w:szCs w:val="21"/>
        </w:rPr>
        <w:t>□扩大认证范围 ：</w:t>
      </w:r>
    </w:p>
    <w:p>
      <w:pPr>
        <w:tabs>
          <w:tab w:val="left" w:pos="645"/>
        </w:tabs>
        <w:rPr>
          <w:rFonts w:hint="eastAsia"/>
          <w:b/>
          <w:sz w:val="21"/>
          <w:szCs w:val="21"/>
        </w:rPr>
      </w:pPr>
      <w:r>
        <w:rPr>
          <w:rFonts w:hint="eastAsia"/>
          <w:b/>
          <w:sz w:val="21"/>
          <w:szCs w:val="21"/>
        </w:rPr>
        <w:t>□其它：__________</w:t>
      </w:r>
      <w:bookmarkEnd w:id="4"/>
    </w:p>
    <w:p>
      <w:pPr>
        <w:tabs>
          <w:tab w:val="left" w:pos="645"/>
        </w:tabs>
        <w:rPr>
          <w:b/>
          <w:sz w:val="16"/>
          <w:szCs w:val="16"/>
        </w:rPr>
      </w:pPr>
      <w:r>
        <w:rPr>
          <w:rFonts w:hint="eastAsia"/>
          <w:b/>
          <w:sz w:val="26"/>
          <w:szCs w:val="26"/>
        </w:rPr>
        <w:t>三、审核准则</w:t>
      </w:r>
    </w:p>
    <w:p>
      <w:pPr>
        <w:tabs>
          <w:tab w:val="left" w:pos="645"/>
        </w:tabs>
        <w:rPr>
          <w:rFonts w:hint="default" w:eastAsia="宋体"/>
          <w:b/>
          <w:sz w:val="21"/>
          <w:szCs w:val="21"/>
          <w:lang w:val="en-US" w:eastAsia="zh-CN"/>
        </w:rPr>
      </w:pPr>
      <w:bookmarkStart w:id="5" w:name="Q勾选15Add"/>
      <w:r>
        <w:rPr>
          <w:rFonts w:hint="eastAsia"/>
          <w:b/>
          <w:sz w:val="21"/>
          <w:szCs w:val="21"/>
        </w:rPr>
        <w:t>■</w:t>
      </w:r>
      <w:bookmarkEnd w:id="5"/>
      <w:r>
        <w:rPr>
          <w:rFonts w:hint="eastAsia"/>
          <w:b/>
          <w:sz w:val="21"/>
          <w:szCs w:val="21"/>
        </w:rPr>
        <w:t xml:space="preserve"> GB/T 19001:2016 idt ISO 9001:2015标准不适用条款: </w:t>
      </w:r>
      <w:r>
        <w:rPr>
          <w:rFonts w:hint="eastAsia"/>
          <w:b/>
          <w:sz w:val="21"/>
          <w:szCs w:val="21"/>
          <w:lang w:val="en-US" w:eastAsia="zh-CN"/>
        </w:rPr>
        <w:t>8.3</w:t>
      </w:r>
    </w:p>
    <w:p>
      <w:pPr>
        <w:tabs>
          <w:tab w:val="left" w:pos="645"/>
        </w:tabs>
        <w:rPr>
          <w:b/>
          <w:sz w:val="21"/>
          <w:szCs w:val="21"/>
        </w:rPr>
      </w:pPr>
      <w:bookmarkStart w:id="6" w:name="QJ勾选Add"/>
      <w:r>
        <w:rPr>
          <w:rFonts w:hint="eastAsia"/>
          <w:b/>
          <w:sz w:val="21"/>
          <w:szCs w:val="21"/>
        </w:rPr>
        <w:t>□</w:t>
      </w:r>
      <w:bookmarkEnd w:id="6"/>
      <w:r>
        <w:rPr>
          <w:rFonts w:hint="eastAsia"/>
          <w:b/>
          <w:sz w:val="21"/>
          <w:szCs w:val="21"/>
        </w:rPr>
        <w:t xml:space="preserve"> GB/T 50430-2017标准不适用条款: </w:t>
      </w:r>
    </w:p>
    <w:p>
      <w:pPr>
        <w:tabs>
          <w:tab w:val="left" w:pos="645"/>
        </w:tabs>
        <w:rPr>
          <w:b/>
          <w:sz w:val="21"/>
          <w:szCs w:val="21"/>
        </w:rPr>
      </w:pPr>
      <w:bookmarkStart w:id="7" w:name="E勾选Add"/>
      <w:r>
        <w:rPr>
          <w:rFonts w:hint="eastAsia"/>
          <w:b/>
          <w:sz w:val="21"/>
          <w:szCs w:val="21"/>
        </w:rPr>
        <w:t>□</w:t>
      </w:r>
      <w:bookmarkEnd w:id="7"/>
      <w:r>
        <w:rPr>
          <w:rFonts w:hint="eastAsia"/>
          <w:b/>
          <w:sz w:val="21"/>
          <w:szCs w:val="21"/>
        </w:rPr>
        <w:t xml:space="preserve"> GB/T 24001-2016 idt ISO 14001:2015标准</w:t>
      </w:r>
    </w:p>
    <w:p>
      <w:pPr>
        <w:tabs>
          <w:tab w:val="left" w:pos="645"/>
        </w:tabs>
        <w:rPr>
          <w:b/>
          <w:sz w:val="21"/>
          <w:szCs w:val="21"/>
        </w:rPr>
      </w:pPr>
      <w:bookmarkStart w:id="8" w:name="S勾选Add"/>
      <w:r>
        <w:rPr>
          <w:rFonts w:hint="eastAsia"/>
          <w:b/>
          <w:sz w:val="21"/>
          <w:szCs w:val="21"/>
        </w:rPr>
        <w:t>□</w:t>
      </w:r>
      <w:bookmarkEnd w:id="8"/>
      <w:r>
        <w:rPr>
          <w:rFonts w:hint="eastAsia"/>
          <w:b/>
          <w:sz w:val="21"/>
          <w:szCs w:val="21"/>
        </w:rPr>
        <w:t xml:space="preserve"> GB/T 28001-2011 idt OHSMS 18001:2007标准</w:t>
      </w:r>
    </w:p>
    <w:p>
      <w:pPr>
        <w:tabs>
          <w:tab w:val="left" w:pos="645"/>
        </w:tabs>
        <w:rPr>
          <w:b/>
          <w:sz w:val="21"/>
          <w:szCs w:val="21"/>
        </w:rPr>
      </w:pPr>
      <w:bookmarkStart w:id="9" w:name="S勾选Add1"/>
      <w:r>
        <w:rPr>
          <w:rFonts w:hint="eastAsia"/>
          <w:b/>
          <w:sz w:val="21"/>
          <w:szCs w:val="21"/>
        </w:rPr>
        <w:t>□</w:t>
      </w:r>
      <w:bookmarkEnd w:id="9"/>
      <w:r>
        <w:rPr>
          <w:rFonts w:hint="eastAsia"/>
          <w:b/>
          <w:sz w:val="21"/>
          <w:szCs w:val="21"/>
        </w:rPr>
        <w:t xml:space="preserve"> ISO45001：2018标准</w:t>
      </w:r>
    </w:p>
    <w:p>
      <w:pPr>
        <w:tabs>
          <w:tab w:val="left" w:pos="645"/>
        </w:tabs>
        <w:rPr>
          <w:b/>
          <w:sz w:val="21"/>
          <w:szCs w:val="21"/>
        </w:rPr>
      </w:pPr>
      <w:r>
        <w:rPr>
          <w:rFonts w:hint="eastAsia"/>
          <w:b/>
          <w:sz w:val="21"/>
          <w:szCs w:val="21"/>
          <w:lang w:eastAsia="zh-CN"/>
        </w:rPr>
        <w:t>☑</w:t>
      </w:r>
      <w:r>
        <w:rPr>
          <w:rFonts w:hint="eastAsia"/>
          <w:b/>
          <w:sz w:val="21"/>
          <w:szCs w:val="21"/>
        </w:rPr>
        <w:t>受审核方管理体系文件</w:t>
      </w:r>
      <w:r>
        <w:rPr>
          <w:rFonts w:hint="eastAsia"/>
          <w:b/>
          <w:sz w:val="21"/>
          <w:szCs w:val="21"/>
          <w:lang w:eastAsia="zh-CN"/>
        </w:rPr>
        <w:t>☑</w:t>
      </w:r>
      <w:r>
        <w:rPr>
          <w:rFonts w:hint="eastAsia"/>
          <w:b/>
          <w:sz w:val="21"/>
          <w:szCs w:val="21"/>
        </w:rPr>
        <w:t>适用的法律法规</w:t>
      </w:r>
      <w:r>
        <w:rPr>
          <w:rFonts w:hint="eastAsia"/>
          <w:b/>
          <w:sz w:val="21"/>
          <w:szCs w:val="21"/>
          <w:lang w:eastAsia="zh-CN"/>
        </w:rPr>
        <w:t>☑</w:t>
      </w:r>
      <w:r>
        <w:rPr>
          <w:rFonts w:hint="eastAsia"/>
          <w:b/>
          <w:sz w:val="21"/>
          <w:szCs w:val="21"/>
        </w:rPr>
        <w:t>认证合同</w:t>
      </w:r>
    </w:p>
    <w:p>
      <w:pPr>
        <w:tabs>
          <w:tab w:val="left" w:pos="645"/>
        </w:tabs>
        <w:rPr>
          <w:b/>
          <w:sz w:val="16"/>
          <w:szCs w:val="16"/>
        </w:rPr>
      </w:pPr>
      <w:r>
        <w:rPr>
          <w:rFonts w:hint="eastAsia"/>
          <w:b/>
          <w:sz w:val="26"/>
          <w:szCs w:val="26"/>
        </w:rPr>
        <w:t>四、受审核方基本信息</w:t>
      </w:r>
    </w:p>
    <w:tbl>
      <w:tblPr>
        <w:tblStyle w:val="7"/>
        <w:tblW w:w="98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1177"/>
        <w:gridCol w:w="2217"/>
        <w:gridCol w:w="990"/>
        <w:gridCol w:w="1390"/>
        <w:gridCol w:w="1350"/>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2218" w:type="dxa"/>
            <w:gridSpan w:val="2"/>
            <w:vAlign w:val="center"/>
          </w:tcPr>
          <w:p>
            <w:pPr>
              <w:spacing w:line="260" w:lineRule="exact"/>
              <w:jc w:val="center"/>
              <w:rPr>
                <w:rFonts w:ascii="宋体"/>
                <w:b/>
                <w:sz w:val="16"/>
                <w:szCs w:val="16"/>
              </w:rPr>
            </w:pPr>
            <w:r>
              <w:rPr>
                <w:rFonts w:hint="eastAsia" w:ascii="宋体" w:hAnsi="宋体"/>
                <w:b/>
                <w:sz w:val="21"/>
              </w:rPr>
              <w:t>受审核方名称</w:t>
            </w:r>
          </w:p>
        </w:tc>
        <w:tc>
          <w:tcPr>
            <w:tcW w:w="4597" w:type="dxa"/>
            <w:gridSpan w:val="3"/>
            <w:vAlign w:val="center"/>
          </w:tcPr>
          <w:p>
            <w:pPr>
              <w:spacing w:line="260" w:lineRule="exact"/>
              <w:jc w:val="center"/>
              <w:rPr>
                <w:rFonts w:ascii="宋体"/>
                <w:b/>
                <w:color w:val="FF0000"/>
                <w:sz w:val="21"/>
              </w:rPr>
            </w:pPr>
            <w:bookmarkStart w:id="10" w:name="组织名称Add"/>
            <w:r>
              <w:rPr>
                <w:rFonts w:ascii="宋体"/>
                <w:b/>
                <w:color w:val="000000" w:themeColor="text1"/>
                <w:sz w:val="21"/>
              </w:rPr>
              <w:t>成都金戈石油机械有限公司</w:t>
            </w:r>
            <w:bookmarkEnd w:id="10"/>
          </w:p>
        </w:tc>
        <w:tc>
          <w:tcPr>
            <w:tcW w:w="1350" w:type="dxa"/>
            <w:vAlign w:val="center"/>
          </w:tcPr>
          <w:p>
            <w:pPr>
              <w:spacing w:line="260" w:lineRule="exact"/>
              <w:jc w:val="center"/>
              <w:rPr>
                <w:rFonts w:ascii="宋体"/>
                <w:b/>
                <w:sz w:val="21"/>
              </w:rPr>
            </w:pPr>
            <w:r>
              <w:rPr>
                <w:rFonts w:hint="eastAsia" w:ascii="宋体" w:hAnsi="宋体"/>
                <w:b/>
                <w:sz w:val="21"/>
              </w:rPr>
              <w:t>组织人数及</w:t>
            </w:r>
          </w:p>
          <w:p>
            <w:pPr>
              <w:spacing w:line="200" w:lineRule="exact"/>
              <w:jc w:val="center"/>
              <w:rPr>
                <w:b/>
                <w:spacing w:val="-20"/>
              </w:rPr>
            </w:pPr>
            <w:r>
              <w:rPr>
                <w:rFonts w:hint="eastAsia" w:ascii="宋体" w:hAnsi="宋体"/>
                <w:b/>
                <w:sz w:val="21"/>
              </w:rPr>
              <w:t>变动情况核实</w:t>
            </w:r>
          </w:p>
        </w:tc>
        <w:tc>
          <w:tcPr>
            <w:tcW w:w="1641" w:type="dxa"/>
            <w:vAlign w:val="center"/>
          </w:tcPr>
          <w:p>
            <w:pPr>
              <w:spacing w:line="260" w:lineRule="exact"/>
              <w:jc w:val="center"/>
              <w:rPr>
                <w:rFonts w:ascii="宋体"/>
                <w:b/>
                <w:sz w:val="21"/>
              </w:rPr>
            </w:pPr>
            <w:r>
              <w:rPr>
                <w:rFonts w:hint="eastAsia" w:ascii="宋体" w:hAnsi="宋体"/>
                <w:b/>
                <w:color w:val="000000" w:themeColor="text1"/>
                <w:sz w:val="20"/>
                <w:szCs w:val="20"/>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218" w:type="dxa"/>
            <w:gridSpan w:val="2"/>
            <w:vAlign w:val="center"/>
          </w:tcPr>
          <w:p>
            <w:pPr>
              <w:jc w:val="center"/>
              <w:rPr>
                <w:b/>
                <w:sz w:val="16"/>
                <w:szCs w:val="16"/>
              </w:rPr>
            </w:pPr>
            <w:r>
              <w:rPr>
                <w:rFonts w:hint="eastAsia" w:ascii="宋体" w:hAnsi="宋体"/>
                <w:b/>
                <w:sz w:val="21"/>
                <w:szCs w:val="21"/>
              </w:rPr>
              <w:t>注册地址</w:t>
            </w:r>
          </w:p>
        </w:tc>
        <w:tc>
          <w:tcPr>
            <w:tcW w:w="4597" w:type="dxa"/>
            <w:gridSpan w:val="3"/>
            <w:vAlign w:val="center"/>
          </w:tcPr>
          <w:p>
            <w:pPr>
              <w:jc w:val="center"/>
              <w:rPr>
                <w:rFonts w:ascii="宋体"/>
                <w:b/>
                <w:sz w:val="21"/>
              </w:rPr>
            </w:pPr>
            <w:bookmarkStart w:id="11" w:name="注册地址"/>
            <w:r>
              <w:rPr>
                <w:rFonts w:ascii="宋体"/>
                <w:b/>
                <w:sz w:val="21"/>
              </w:rPr>
              <w:t>成都市锦江区一环路东四段14号</w:t>
            </w:r>
            <w:bookmarkEnd w:id="11"/>
          </w:p>
        </w:tc>
        <w:tc>
          <w:tcPr>
            <w:tcW w:w="1350" w:type="dxa"/>
            <w:vMerge w:val="restart"/>
            <w:vAlign w:val="center"/>
          </w:tcPr>
          <w:p>
            <w:pPr>
              <w:jc w:val="center"/>
              <w:rPr>
                <w:rFonts w:ascii="宋体"/>
                <w:b/>
                <w:sz w:val="21"/>
              </w:rPr>
            </w:pPr>
            <w:r>
              <w:rPr>
                <w:rFonts w:hint="eastAsia" w:ascii="宋体" w:hAnsi="宋体"/>
                <w:b/>
                <w:sz w:val="21"/>
              </w:rPr>
              <w:t>邮编</w:t>
            </w:r>
          </w:p>
        </w:tc>
        <w:tc>
          <w:tcPr>
            <w:tcW w:w="1641" w:type="dxa"/>
            <w:vAlign w:val="center"/>
          </w:tcPr>
          <w:p>
            <w:pPr>
              <w:jc w:val="center"/>
              <w:rPr>
                <w:rFonts w:ascii="宋体"/>
                <w:b/>
                <w:sz w:val="21"/>
              </w:rPr>
            </w:pPr>
            <w:bookmarkStart w:id="12" w:name="注册邮编"/>
            <w:r>
              <w:rPr>
                <w:rFonts w:ascii="宋体"/>
                <w:b/>
                <w:sz w:val="21"/>
              </w:rPr>
              <w:t>610000</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2218" w:type="dxa"/>
            <w:gridSpan w:val="2"/>
            <w:vAlign w:val="center"/>
          </w:tcPr>
          <w:p>
            <w:pPr>
              <w:jc w:val="center"/>
              <w:rPr>
                <w:rFonts w:ascii="宋体"/>
                <w:b/>
                <w:sz w:val="21"/>
                <w:szCs w:val="21"/>
              </w:rPr>
            </w:pPr>
            <w:r>
              <w:rPr>
                <w:rFonts w:hint="eastAsia" w:ascii="宋体" w:hAnsi="宋体"/>
                <w:b/>
                <w:sz w:val="21"/>
                <w:szCs w:val="21"/>
              </w:rPr>
              <w:t>经营地址</w:t>
            </w:r>
          </w:p>
        </w:tc>
        <w:tc>
          <w:tcPr>
            <w:tcW w:w="4597" w:type="dxa"/>
            <w:gridSpan w:val="3"/>
            <w:vAlign w:val="center"/>
          </w:tcPr>
          <w:p>
            <w:pPr>
              <w:jc w:val="center"/>
              <w:rPr>
                <w:rFonts w:ascii="宋体"/>
                <w:b/>
                <w:sz w:val="21"/>
              </w:rPr>
            </w:pPr>
            <w:bookmarkStart w:id="13" w:name="办公地址"/>
            <w:r>
              <w:rPr>
                <w:rFonts w:ascii="宋体"/>
                <w:b/>
                <w:sz w:val="21"/>
              </w:rPr>
              <w:t>成都市新都工业东区白云路468号</w:t>
            </w:r>
            <w:bookmarkEnd w:id="13"/>
          </w:p>
        </w:tc>
        <w:tc>
          <w:tcPr>
            <w:tcW w:w="1350" w:type="dxa"/>
            <w:vMerge w:val="continue"/>
            <w:vAlign w:val="center"/>
          </w:tcPr>
          <w:p>
            <w:pPr>
              <w:jc w:val="center"/>
              <w:rPr>
                <w:rFonts w:ascii="宋体"/>
                <w:b/>
                <w:sz w:val="21"/>
              </w:rPr>
            </w:pPr>
          </w:p>
        </w:tc>
        <w:tc>
          <w:tcPr>
            <w:tcW w:w="1641" w:type="dxa"/>
            <w:vAlign w:val="center"/>
          </w:tcPr>
          <w:p>
            <w:pPr>
              <w:jc w:val="center"/>
              <w:rPr>
                <w:rFonts w:ascii="宋体"/>
                <w:b/>
                <w:sz w:val="21"/>
              </w:rPr>
            </w:pPr>
            <w:bookmarkStart w:id="14" w:name="办公邮编"/>
            <w:r>
              <w:rPr>
                <w:rFonts w:ascii="宋体"/>
                <w:b/>
                <w:sz w:val="21"/>
              </w:rPr>
              <w:t>610000</w:t>
            </w:r>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2218" w:type="dxa"/>
            <w:gridSpan w:val="2"/>
            <w:vAlign w:val="center"/>
          </w:tcPr>
          <w:p>
            <w:pPr>
              <w:jc w:val="center"/>
              <w:rPr>
                <w:rFonts w:ascii="宋体"/>
                <w:b/>
                <w:color w:val="000000"/>
                <w:sz w:val="21"/>
                <w:szCs w:val="21"/>
              </w:rPr>
            </w:pPr>
            <w:r>
              <w:rPr>
                <w:rFonts w:hint="eastAsia" w:ascii="宋体" w:hAnsi="宋体"/>
                <w:b/>
                <w:color w:val="000000"/>
                <w:sz w:val="21"/>
                <w:szCs w:val="21"/>
              </w:rPr>
              <w:t>生产地址</w:t>
            </w:r>
          </w:p>
        </w:tc>
        <w:tc>
          <w:tcPr>
            <w:tcW w:w="4597" w:type="dxa"/>
            <w:gridSpan w:val="3"/>
            <w:vAlign w:val="center"/>
          </w:tcPr>
          <w:p>
            <w:pPr>
              <w:jc w:val="center"/>
              <w:rPr>
                <w:rFonts w:ascii="宋体"/>
                <w:b/>
                <w:sz w:val="21"/>
              </w:rPr>
            </w:pPr>
            <w:bookmarkStart w:id="15" w:name="生产地址Add"/>
            <w:r>
              <w:rPr>
                <w:rFonts w:ascii="宋体"/>
                <w:b/>
                <w:sz w:val="21"/>
              </w:rPr>
              <w:t>成都市新都工业东区白云路468号</w:t>
            </w:r>
            <w:bookmarkEnd w:id="15"/>
          </w:p>
        </w:tc>
        <w:tc>
          <w:tcPr>
            <w:tcW w:w="1350" w:type="dxa"/>
            <w:vMerge w:val="continue"/>
            <w:vAlign w:val="center"/>
          </w:tcPr>
          <w:p>
            <w:pPr>
              <w:jc w:val="center"/>
              <w:rPr>
                <w:rFonts w:ascii="宋体"/>
                <w:b/>
                <w:sz w:val="21"/>
              </w:rPr>
            </w:pPr>
          </w:p>
        </w:tc>
        <w:tc>
          <w:tcPr>
            <w:tcW w:w="1641" w:type="dxa"/>
            <w:vAlign w:val="center"/>
          </w:tcPr>
          <w:p>
            <w:pPr>
              <w:jc w:val="center"/>
              <w:rPr>
                <w:rFonts w:ascii="宋体"/>
                <w:b/>
                <w:sz w:val="21"/>
              </w:rPr>
            </w:pPr>
            <w:bookmarkStart w:id="16" w:name="生产邮编"/>
            <w:r>
              <w:rPr>
                <w:rFonts w:ascii="宋体"/>
                <w:b/>
                <w:sz w:val="21"/>
              </w:rPr>
              <w:t>610000</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2218" w:type="dxa"/>
            <w:gridSpan w:val="2"/>
            <w:vAlign w:val="center"/>
          </w:tcPr>
          <w:p>
            <w:pPr>
              <w:jc w:val="center"/>
              <w:rPr>
                <w:rFonts w:ascii="宋体"/>
                <w:b/>
                <w:sz w:val="21"/>
              </w:rPr>
            </w:pPr>
            <w:r>
              <w:rPr>
                <w:rFonts w:hint="eastAsia" w:ascii="宋体" w:hAnsi="宋体"/>
                <w:b/>
                <w:sz w:val="21"/>
              </w:rPr>
              <w:t>联系人</w:t>
            </w:r>
          </w:p>
        </w:tc>
        <w:tc>
          <w:tcPr>
            <w:tcW w:w="2217" w:type="dxa"/>
            <w:vAlign w:val="center"/>
          </w:tcPr>
          <w:p>
            <w:pPr>
              <w:spacing w:line="320" w:lineRule="exact"/>
              <w:jc w:val="center"/>
              <w:rPr>
                <w:rFonts w:ascii="宋体"/>
                <w:b/>
                <w:sz w:val="21"/>
              </w:rPr>
            </w:pPr>
            <w:bookmarkStart w:id="17" w:name="联系人"/>
            <w:bookmarkEnd w:id="17"/>
            <w:r>
              <w:rPr>
                <w:rFonts w:hint="eastAsia" w:ascii="宋体" w:hAnsi="宋体"/>
                <w:b/>
                <w:color w:val="000000" w:themeColor="text1"/>
                <w:sz w:val="20"/>
                <w:szCs w:val="20"/>
              </w:rPr>
              <w:t>杨丰豪</w:t>
            </w:r>
          </w:p>
        </w:tc>
        <w:tc>
          <w:tcPr>
            <w:tcW w:w="990" w:type="dxa"/>
            <w:vAlign w:val="center"/>
          </w:tcPr>
          <w:p>
            <w:pPr>
              <w:spacing w:line="320" w:lineRule="exact"/>
              <w:jc w:val="center"/>
              <w:rPr>
                <w:rFonts w:ascii="宋体"/>
                <w:b/>
                <w:sz w:val="21"/>
              </w:rPr>
            </w:pPr>
            <w:r>
              <w:rPr>
                <w:rFonts w:hint="eastAsia" w:ascii="宋体" w:hAnsi="宋体"/>
                <w:b/>
                <w:color w:val="000000" w:themeColor="text1"/>
                <w:sz w:val="20"/>
                <w:szCs w:val="20"/>
              </w:rPr>
              <w:t>电话</w:t>
            </w:r>
          </w:p>
        </w:tc>
        <w:tc>
          <w:tcPr>
            <w:tcW w:w="1390" w:type="dxa"/>
            <w:vAlign w:val="center"/>
          </w:tcPr>
          <w:p>
            <w:pPr>
              <w:spacing w:line="320" w:lineRule="exact"/>
              <w:jc w:val="center"/>
              <w:rPr>
                <w:rFonts w:ascii="宋体"/>
                <w:b/>
                <w:sz w:val="21"/>
              </w:rPr>
            </w:pPr>
            <w:bookmarkStart w:id="18" w:name="联系人电话Add"/>
            <w:bookmarkEnd w:id="18"/>
            <w:r>
              <w:rPr>
                <w:szCs w:val="21"/>
              </w:rPr>
              <w:t>13308094080</w:t>
            </w:r>
          </w:p>
        </w:tc>
        <w:tc>
          <w:tcPr>
            <w:tcW w:w="1350" w:type="dxa"/>
            <w:vAlign w:val="center"/>
          </w:tcPr>
          <w:p>
            <w:pPr>
              <w:spacing w:line="320" w:lineRule="exact"/>
              <w:jc w:val="center"/>
              <w:rPr>
                <w:rFonts w:ascii="宋体"/>
                <w:b/>
                <w:sz w:val="21"/>
              </w:rPr>
            </w:pPr>
            <w:r>
              <w:rPr>
                <w:rFonts w:hint="eastAsia" w:ascii="宋体" w:hAnsi="宋体"/>
                <w:b/>
                <w:color w:val="000000" w:themeColor="text1"/>
                <w:sz w:val="20"/>
                <w:szCs w:val="20"/>
              </w:rPr>
              <w:t>传真</w:t>
            </w:r>
          </w:p>
        </w:tc>
        <w:tc>
          <w:tcPr>
            <w:tcW w:w="1641" w:type="dxa"/>
            <w:vAlign w:val="center"/>
          </w:tcPr>
          <w:p>
            <w:pPr>
              <w:spacing w:line="320" w:lineRule="exact"/>
              <w:jc w:val="center"/>
              <w:rPr>
                <w:rFonts w:ascii="宋体"/>
                <w:b/>
                <w:sz w:val="21"/>
              </w:rPr>
            </w:pPr>
            <w:bookmarkStart w:id="19" w:name="联系人传真"/>
            <w:bookmarkEnd w:id="19"/>
            <w:r>
              <w:t>028-84465186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法人代表</w:t>
            </w:r>
          </w:p>
        </w:tc>
        <w:tc>
          <w:tcPr>
            <w:tcW w:w="2217" w:type="dxa"/>
            <w:vAlign w:val="center"/>
          </w:tcPr>
          <w:p>
            <w:pPr>
              <w:jc w:val="center"/>
              <w:rPr>
                <w:rFonts w:ascii="宋体" w:hAnsi="宋体"/>
                <w:b/>
                <w:sz w:val="21"/>
                <w:szCs w:val="21"/>
              </w:rPr>
            </w:pPr>
            <w:bookmarkStart w:id="20" w:name="法人"/>
            <w:r>
              <w:rPr>
                <w:rFonts w:ascii="宋体" w:hAnsi="宋体"/>
                <w:b/>
                <w:sz w:val="21"/>
                <w:szCs w:val="21"/>
              </w:rPr>
              <w:t>袁椿燕</w:t>
            </w:r>
            <w:bookmarkEnd w:id="20"/>
          </w:p>
        </w:tc>
        <w:tc>
          <w:tcPr>
            <w:tcW w:w="990" w:type="dxa"/>
            <w:vAlign w:val="center"/>
          </w:tcPr>
          <w:p>
            <w:pPr>
              <w:jc w:val="center"/>
              <w:rPr>
                <w:rFonts w:ascii="宋体" w:hAnsi="宋体"/>
                <w:b/>
                <w:sz w:val="21"/>
                <w:szCs w:val="21"/>
              </w:rPr>
            </w:pPr>
            <w:r>
              <w:rPr>
                <w:rFonts w:hint="eastAsia" w:ascii="宋体" w:hAnsi="宋体"/>
                <w:b/>
                <w:sz w:val="21"/>
                <w:szCs w:val="21"/>
              </w:rPr>
              <w:t>总经理</w:t>
            </w:r>
          </w:p>
        </w:tc>
        <w:tc>
          <w:tcPr>
            <w:tcW w:w="1390" w:type="dxa"/>
            <w:vAlign w:val="center"/>
          </w:tcPr>
          <w:p>
            <w:pPr>
              <w:jc w:val="center"/>
              <w:rPr>
                <w:rFonts w:ascii="宋体" w:hAnsi="宋体"/>
                <w:b/>
                <w:sz w:val="21"/>
                <w:szCs w:val="21"/>
              </w:rPr>
            </w:pPr>
          </w:p>
        </w:tc>
        <w:tc>
          <w:tcPr>
            <w:tcW w:w="1350" w:type="dxa"/>
            <w:vAlign w:val="center"/>
          </w:tcPr>
          <w:p>
            <w:pPr>
              <w:jc w:val="center"/>
              <w:rPr>
                <w:rFonts w:ascii="宋体" w:hAnsi="宋体"/>
                <w:b/>
                <w:sz w:val="21"/>
                <w:szCs w:val="21"/>
              </w:rPr>
            </w:pPr>
            <w:r>
              <w:rPr>
                <w:rFonts w:hint="eastAsia" w:ascii="宋体" w:hAnsi="宋体"/>
                <w:b/>
                <w:sz w:val="21"/>
                <w:szCs w:val="21"/>
              </w:rPr>
              <w:t>管理者代表</w:t>
            </w:r>
          </w:p>
        </w:tc>
        <w:tc>
          <w:tcPr>
            <w:tcW w:w="1641" w:type="dxa"/>
            <w:vAlign w:val="center"/>
          </w:tcPr>
          <w:p>
            <w:pPr>
              <w:jc w:val="center"/>
              <w:rPr>
                <w:rFonts w:ascii="宋体"/>
                <w:b/>
                <w:sz w:val="21"/>
              </w:rPr>
            </w:pPr>
            <w:bookmarkStart w:id="21" w:name="管理者代表"/>
            <w:r>
              <w:rPr>
                <w:rFonts w:ascii="宋体"/>
                <w:b/>
                <w:sz w:val="21"/>
              </w:rPr>
              <w:t>杨丰豪</w:t>
            </w:r>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审核日期</w:t>
            </w:r>
          </w:p>
        </w:tc>
        <w:tc>
          <w:tcPr>
            <w:tcW w:w="3207" w:type="dxa"/>
            <w:gridSpan w:val="2"/>
            <w:vAlign w:val="center"/>
          </w:tcPr>
          <w:p>
            <w:pPr>
              <w:jc w:val="center"/>
              <w:rPr>
                <w:rFonts w:ascii="宋体" w:hAnsi="宋体"/>
                <w:b/>
                <w:sz w:val="21"/>
                <w:szCs w:val="21"/>
              </w:rPr>
            </w:pPr>
            <w:bookmarkStart w:id="22" w:name="审核日期"/>
            <w:r>
              <w:rPr>
                <w:rFonts w:ascii="宋体" w:hAnsi="宋体"/>
                <w:b/>
                <w:sz w:val="21"/>
                <w:szCs w:val="21"/>
              </w:rPr>
              <w:t>2020年09月07日 上午至</w:t>
            </w:r>
          </w:p>
          <w:p>
            <w:pPr>
              <w:jc w:val="center"/>
              <w:rPr>
                <w:rFonts w:ascii="宋体" w:hAnsi="宋体"/>
                <w:b/>
                <w:sz w:val="21"/>
                <w:szCs w:val="21"/>
              </w:rPr>
            </w:pPr>
            <w:r>
              <w:rPr>
                <w:rFonts w:ascii="宋体" w:hAnsi="宋体"/>
                <w:b/>
                <w:sz w:val="21"/>
                <w:szCs w:val="21"/>
              </w:rPr>
              <w:t>2020年09月07日 下午</w:t>
            </w:r>
            <w:bookmarkEnd w:id="22"/>
          </w:p>
        </w:tc>
        <w:tc>
          <w:tcPr>
            <w:tcW w:w="1390" w:type="dxa"/>
            <w:vAlign w:val="center"/>
          </w:tcPr>
          <w:p>
            <w:pPr>
              <w:jc w:val="center"/>
              <w:rPr>
                <w:rFonts w:ascii="宋体" w:hAnsi="宋体"/>
                <w:b/>
                <w:sz w:val="21"/>
                <w:szCs w:val="21"/>
              </w:rPr>
            </w:pPr>
            <w:r>
              <w:rPr>
                <w:rFonts w:hint="eastAsia" w:ascii="宋体" w:hAnsi="宋体"/>
                <w:b/>
                <w:sz w:val="21"/>
                <w:szCs w:val="21"/>
              </w:rPr>
              <w:t>一体化审核</w:t>
            </w:r>
          </w:p>
        </w:tc>
        <w:tc>
          <w:tcPr>
            <w:tcW w:w="2991" w:type="dxa"/>
            <w:gridSpan w:val="2"/>
            <w:vAlign w:val="center"/>
          </w:tcPr>
          <w:p>
            <w:pPr>
              <w:jc w:val="center"/>
              <w:rPr>
                <w:rFonts w:ascii="宋体" w:hAnsi="宋体"/>
                <w:b/>
                <w:sz w:val="21"/>
                <w:szCs w:val="21"/>
              </w:rPr>
            </w:pPr>
            <w:r>
              <w:rPr>
                <w:rFonts w:hint="eastAsia" w:ascii="宋体" w:hAnsi="宋体"/>
                <w:b/>
                <w:sz w:val="21"/>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6"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服务认证范围</w:t>
            </w:r>
          </w:p>
        </w:tc>
        <w:tc>
          <w:tcPr>
            <w:tcW w:w="7588" w:type="dxa"/>
            <w:gridSpan w:val="5"/>
          </w:tcPr>
          <w:p>
            <w:pPr>
              <w:spacing w:line="360" w:lineRule="exact"/>
              <w:rPr>
                <w:rFonts w:ascii="宋体" w:hAnsi="宋体"/>
                <w:b/>
                <w:sz w:val="21"/>
                <w:szCs w:val="21"/>
              </w:rPr>
            </w:pPr>
            <w:bookmarkStart w:id="23" w:name="Q勾选15Add1"/>
            <w:r>
              <w:rPr>
                <w:rFonts w:hint="eastAsia" w:ascii="宋体" w:hAnsi="宋体"/>
                <w:b/>
                <w:sz w:val="21"/>
                <w:szCs w:val="21"/>
              </w:rPr>
              <w:t>■</w:t>
            </w:r>
            <w:bookmarkEnd w:id="23"/>
            <w:r>
              <w:rPr>
                <w:rFonts w:ascii="宋体" w:hAnsi="宋体"/>
                <w:b/>
                <w:sz w:val="21"/>
                <w:szCs w:val="21"/>
              </w:rPr>
              <w:t>QMS</w:t>
            </w:r>
            <w:r>
              <w:rPr>
                <w:rFonts w:hint="eastAsia" w:ascii="宋体" w:hAnsi="宋体"/>
                <w:b/>
                <w:sz w:val="21"/>
                <w:szCs w:val="21"/>
              </w:rPr>
              <w:t>：石油钻井机械部件的生产和修理技术服务；钻井油泥、泥浆的固液分离处理;</w:t>
            </w:r>
          </w:p>
          <w:p>
            <w:pPr>
              <w:spacing w:line="360" w:lineRule="exact"/>
              <w:rPr>
                <w:rFonts w:ascii="宋体" w:hAnsi="宋体"/>
                <w:b/>
                <w:sz w:val="21"/>
                <w:szCs w:val="21"/>
              </w:rPr>
            </w:pPr>
            <w:bookmarkStart w:id="24" w:name="E勾选Add1"/>
            <w:r>
              <w:rPr>
                <w:rFonts w:hint="eastAsia" w:ascii="宋体" w:hAnsi="宋体"/>
                <w:b/>
                <w:sz w:val="21"/>
                <w:szCs w:val="21"/>
              </w:rPr>
              <w:t>□</w:t>
            </w:r>
            <w:bookmarkEnd w:id="24"/>
            <w:r>
              <w:rPr>
                <w:rFonts w:ascii="宋体" w:hAnsi="宋体"/>
                <w:b/>
                <w:sz w:val="21"/>
                <w:szCs w:val="21"/>
              </w:rPr>
              <w:t>EMS</w:t>
            </w:r>
            <w:r>
              <w:rPr>
                <w:rFonts w:hint="eastAsia" w:ascii="宋体" w:hAnsi="宋体"/>
                <w:b/>
                <w:sz w:val="21"/>
                <w:szCs w:val="21"/>
              </w:rPr>
              <w:t>：</w:t>
            </w:r>
          </w:p>
          <w:p>
            <w:pPr>
              <w:spacing w:line="360" w:lineRule="exact"/>
              <w:rPr>
                <w:rFonts w:ascii="宋体" w:hAnsi="宋体"/>
                <w:b/>
                <w:sz w:val="21"/>
                <w:szCs w:val="21"/>
              </w:rPr>
            </w:pPr>
            <w:bookmarkStart w:id="25" w:name="S勾选Add2"/>
            <w:r>
              <w:rPr>
                <w:rFonts w:hint="eastAsia" w:ascii="宋体" w:hAnsi="宋体"/>
                <w:b/>
                <w:sz w:val="21"/>
                <w:szCs w:val="21"/>
              </w:rPr>
              <w:t>□</w:t>
            </w:r>
            <w:bookmarkEnd w:id="25"/>
            <w:r>
              <w:rPr>
                <w:rFonts w:ascii="宋体" w:hAnsi="宋体"/>
                <w:b/>
                <w:sz w:val="21"/>
                <w:szCs w:val="21"/>
              </w:rPr>
              <w:t>OHSMS</w:t>
            </w:r>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jc w:val="center"/>
        </w:trPr>
        <w:tc>
          <w:tcPr>
            <w:tcW w:w="1041" w:type="dxa"/>
            <w:vAlign w:val="center"/>
          </w:tcPr>
          <w:p>
            <w:pPr>
              <w:spacing w:line="260" w:lineRule="exact"/>
              <w:jc w:val="center"/>
              <w:rPr>
                <w:rFonts w:ascii="宋体" w:hAnsi="宋体"/>
                <w:b/>
                <w:sz w:val="21"/>
                <w:szCs w:val="21"/>
              </w:rPr>
            </w:pPr>
            <w:r>
              <w:rPr>
                <w:rFonts w:hint="eastAsia" w:ascii="宋体" w:hAnsi="宋体"/>
                <w:b/>
                <w:sz w:val="21"/>
                <w:szCs w:val="21"/>
              </w:rPr>
              <w:t>是否要求变更</w:t>
            </w:r>
          </w:p>
          <w:p>
            <w:pPr>
              <w:spacing w:line="180" w:lineRule="exact"/>
              <w:jc w:val="center"/>
              <w:rPr>
                <w:rFonts w:ascii="宋体" w:hAnsi="宋体"/>
                <w:b/>
                <w:sz w:val="21"/>
                <w:szCs w:val="21"/>
              </w:rPr>
            </w:pPr>
          </w:p>
        </w:tc>
        <w:tc>
          <w:tcPr>
            <w:tcW w:w="1177" w:type="dxa"/>
            <w:vAlign w:val="center"/>
          </w:tcPr>
          <w:p>
            <w:pPr>
              <w:spacing w:line="260" w:lineRule="exact"/>
              <w:rPr>
                <w:rFonts w:ascii="宋体" w:hAnsi="宋体"/>
                <w:b/>
                <w:sz w:val="21"/>
                <w:szCs w:val="21"/>
              </w:rPr>
            </w:pPr>
            <w:r>
              <w:rPr>
                <w:rFonts w:hint="eastAsia" w:ascii="宋体" w:hAnsi="宋体"/>
                <w:b/>
                <w:sz w:val="21"/>
                <w:szCs w:val="21"/>
              </w:rPr>
              <w:t>□是</w:t>
            </w:r>
          </w:p>
          <w:p>
            <w:pPr>
              <w:spacing w:line="260" w:lineRule="exact"/>
              <w:jc w:val="center"/>
              <w:rPr>
                <w:rFonts w:ascii="宋体" w:hAnsi="宋体"/>
                <w:b/>
                <w:sz w:val="21"/>
                <w:szCs w:val="21"/>
              </w:rPr>
            </w:pPr>
          </w:p>
          <w:p>
            <w:pPr>
              <w:spacing w:line="260" w:lineRule="exact"/>
              <w:rPr>
                <w:rFonts w:ascii="宋体" w:hAnsi="宋体"/>
                <w:b/>
                <w:sz w:val="21"/>
                <w:szCs w:val="21"/>
              </w:rPr>
            </w:pPr>
            <w:r>
              <w:rPr>
                <w:rFonts w:hint="eastAsia" w:ascii="宋体" w:hAnsi="宋体"/>
                <w:b/>
                <w:sz w:val="21"/>
                <w:szCs w:val="21"/>
              </w:rPr>
              <w:t>□否</w:t>
            </w:r>
          </w:p>
        </w:tc>
        <w:tc>
          <w:tcPr>
            <w:tcW w:w="7588" w:type="dxa"/>
            <w:gridSpan w:val="5"/>
          </w:tcPr>
          <w:p>
            <w:pPr>
              <w:spacing w:line="360" w:lineRule="exact"/>
              <w:rPr>
                <w:rFonts w:ascii="宋体" w:hAnsi="宋体"/>
                <w:b/>
                <w:sz w:val="21"/>
                <w:szCs w:val="21"/>
              </w:rPr>
            </w:pPr>
            <w:r>
              <w:rPr>
                <w:rFonts w:hint="eastAsia" w:ascii="宋体" w:hAnsi="宋体"/>
                <w:b/>
                <w:sz w:val="21"/>
                <w:szCs w:val="21"/>
              </w:rPr>
              <w:t>变更的认证范围</w:t>
            </w:r>
            <w:r>
              <w:rPr>
                <w:rFonts w:ascii="宋体" w:hAnsi="宋体"/>
                <w:b/>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专业代码</w:t>
            </w:r>
          </w:p>
        </w:tc>
        <w:tc>
          <w:tcPr>
            <w:tcW w:w="2217" w:type="dxa"/>
          </w:tcPr>
          <w:p>
            <w:pPr>
              <w:spacing w:line="260" w:lineRule="exact"/>
              <w:rPr>
                <w:rFonts w:ascii="宋体" w:hAnsi="宋体"/>
                <w:b/>
                <w:sz w:val="21"/>
                <w:szCs w:val="21"/>
              </w:rPr>
            </w:pPr>
            <w:bookmarkStart w:id="26" w:name="专业代码"/>
            <w:r>
              <w:rPr>
                <w:rFonts w:ascii="宋体" w:hAnsi="宋体"/>
                <w:b/>
                <w:sz w:val="21"/>
                <w:szCs w:val="21"/>
              </w:rPr>
              <w:t>18.05.02;18.08.00;34.06.00;39.03.02</w:t>
            </w:r>
            <w:bookmarkEnd w:id="26"/>
          </w:p>
        </w:tc>
        <w:tc>
          <w:tcPr>
            <w:tcW w:w="990" w:type="dxa"/>
            <w:vAlign w:val="center"/>
          </w:tcPr>
          <w:p>
            <w:pPr>
              <w:spacing w:line="260" w:lineRule="exact"/>
              <w:jc w:val="center"/>
              <w:rPr>
                <w:rFonts w:ascii="宋体" w:hAnsi="宋体"/>
                <w:b/>
                <w:sz w:val="21"/>
                <w:szCs w:val="21"/>
              </w:rPr>
            </w:pPr>
            <w:r>
              <w:rPr>
                <w:rFonts w:hint="eastAsia" w:ascii="宋体" w:hAnsi="宋体"/>
                <w:b/>
                <w:sz w:val="21"/>
                <w:szCs w:val="21"/>
              </w:rPr>
              <w:t>证书有</w:t>
            </w:r>
          </w:p>
          <w:p>
            <w:pPr>
              <w:spacing w:line="260" w:lineRule="exact"/>
              <w:jc w:val="center"/>
              <w:rPr>
                <w:rFonts w:ascii="宋体" w:hAnsi="宋体"/>
                <w:b/>
                <w:sz w:val="21"/>
                <w:szCs w:val="21"/>
              </w:rPr>
            </w:pPr>
            <w:r>
              <w:rPr>
                <w:rFonts w:hint="eastAsia" w:ascii="宋体" w:hAnsi="宋体"/>
                <w:b/>
                <w:sz w:val="21"/>
                <w:szCs w:val="21"/>
              </w:rPr>
              <w:t>效期</w:t>
            </w:r>
          </w:p>
        </w:tc>
        <w:tc>
          <w:tcPr>
            <w:tcW w:w="1390" w:type="dxa"/>
            <w:vAlign w:val="center"/>
          </w:tcPr>
          <w:p>
            <w:pPr>
              <w:spacing w:line="260" w:lineRule="exact"/>
              <w:jc w:val="center"/>
              <w:rPr>
                <w:rFonts w:ascii="宋体" w:hAnsi="宋体"/>
                <w:b/>
                <w:sz w:val="21"/>
                <w:szCs w:val="21"/>
              </w:rPr>
            </w:pPr>
            <w:r>
              <w:rPr>
                <w:rFonts w:hint="eastAsia" w:ascii="宋体" w:hAnsi="宋体"/>
                <w:b/>
                <w:color w:val="000000"/>
                <w:sz w:val="21"/>
                <w:szCs w:val="21"/>
                <w:lang w:val="en-US" w:eastAsia="zh-CN"/>
              </w:rPr>
              <w:t>2022.9.18</w:t>
            </w:r>
          </w:p>
        </w:tc>
        <w:tc>
          <w:tcPr>
            <w:tcW w:w="1350" w:type="dxa"/>
            <w:vAlign w:val="center"/>
          </w:tcPr>
          <w:p>
            <w:pPr>
              <w:spacing w:line="260" w:lineRule="exact"/>
              <w:jc w:val="center"/>
              <w:rPr>
                <w:rFonts w:hint="eastAsia" w:ascii="宋体" w:hAnsi="宋体"/>
                <w:b/>
                <w:color w:val="000000"/>
                <w:sz w:val="21"/>
                <w:szCs w:val="21"/>
                <w:lang w:val="en-US" w:eastAsia="zh-CN"/>
              </w:rPr>
            </w:pPr>
            <w:r>
              <w:rPr>
                <w:rFonts w:hint="eastAsia" w:ascii="宋体" w:hAnsi="宋体"/>
                <w:b/>
                <w:color w:val="000000"/>
                <w:sz w:val="21"/>
                <w:szCs w:val="21"/>
                <w:lang w:val="en-US" w:eastAsia="zh-CN"/>
              </w:rPr>
              <w:t>上年度</w:t>
            </w:r>
          </w:p>
          <w:p>
            <w:pPr>
              <w:spacing w:line="260" w:lineRule="exact"/>
              <w:jc w:val="center"/>
              <w:rPr>
                <w:rFonts w:ascii="宋体" w:hAnsi="宋体"/>
                <w:b/>
                <w:sz w:val="21"/>
                <w:szCs w:val="21"/>
              </w:rPr>
            </w:pPr>
            <w:r>
              <w:rPr>
                <w:rFonts w:hint="eastAsia" w:ascii="宋体" w:hAnsi="宋体"/>
                <w:b/>
                <w:color w:val="000000"/>
                <w:sz w:val="21"/>
                <w:szCs w:val="21"/>
                <w:lang w:val="en-US" w:eastAsia="zh-CN"/>
              </w:rPr>
              <w:t>审核日期</w:t>
            </w:r>
          </w:p>
        </w:tc>
        <w:tc>
          <w:tcPr>
            <w:tcW w:w="1641" w:type="dxa"/>
            <w:vAlign w:val="center"/>
          </w:tcPr>
          <w:p>
            <w:pPr>
              <w:spacing w:line="260" w:lineRule="exact"/>
              <w:jc w:val="center"/>
              <w:rPr>
                <w:rFonts w:hint="default" w:ascii="宋体"/>
                <w:b/>
                <w:sz w:val="21"/>
                <w:lang w:val="en-US"/>
              </w:rPr>
            </w:pPr>
            <w:r>
              <w:rPr>
                <w:rFonts w:hint="eastAsia" w:ascii="宋体" w:hAnsi="宋体"/>
                <w:b/>
                <w:color w:val="000000"/>
                <w:sz w:val="21"/>
                <w:szCs w:val="21"/>
                <w:lang w:val="en-US" w:eastAsia="zh-CN"/>
              </w:rPr>
              <w:t>2019.8.7-8</w:t>
            </w:r>
          </w:p>
        </w:tc>
      </w:tr>
    </w:tbl>
    <w:p>
      <w:pPr>
        <w:tabs>
          <w:tab w:val="left" w:pos="645"/>
        </w:tabs>
        <w:spacing w:after="163" w:afterLines="50" w:line="360" w:lineRule="exact"/>
        <w:rPr>
          <w:b/>
          <w:spacing w:val="-6"/>
          <w:sz w:val="16"/>
          <w:szCs w:val="16"/>
        </w:rPr>
      </w:pPr>
      <w:r>
        <w:rPr>
          <w:rFonts w:hint="eastAsia"/>
          <w:b/>
          <w:sz w:val="26"/>
          <w:szCs w:val="26"/>
        </w:rPr>
        <w:t>五、审核活动安排综述</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1. </w:t>
      </w:r>
      <w:r>
        <w:rPr>
          <w:rFonts w:hint="eastAsia" w:ascii="宋体" w:hAnsi="宋体"/>
          <w:b/>
          <w:sz w:val="21"/>
          <w:szCs w:val="21"/>
        </w:rPr>
        <w:t>本次审核活动按相关审核计划执行（见附件</w:t>
      </w:r>
      <w:r>
        <w:rPr>
          <w:rFonts w:ascii="宋体" w:hAnsi="宋体"/>
          <w:b/>
          <w:sz w:val="21"/>
          <w:szCs w:val="21"/>
        </w:rPr>
        <w:t>1</w:t>
      </w:r>
      <w:r>
        <w:rPr>
          <w:rFonts w:hint="eastAsia" w:ascii="宋体" w:hAnsi="宋体"/>
          <w:b/>
          <w:sz w:val="21"/>
          <w:szCs w:val="21"/>
        </w:rPr>
        <w:t>）</w:t>
      </w:r>
    </w:p>
    <w:p>
      <w:pPr>
        <w:spacing w:before="163" w:beforeLines="50"/>
        <w:rPr>
          <w:rFonts w:hint="eastAsia" w:ascii="宋体" w:hAnsi="宋体" w:cs="Times New Roman"/>
          <w:b/>
          <w:sz w:val="21"/>
          <w:szCs w:val="21"/>
          <w:lang w:eastAsia="zh-CN"/>
        </w:rPr>
      </w:pPr>
      <w:r>
        <w:rPr>
          <w:rFonts w:hint="eastAsia" w:ascii="宋体" w:hAnsi="宋体" w:cs="Times New Roman"/>
          <w:b/>
          <w:sz w:val="21"/>
          <w:szCs w:val="21"/>
          <w:lang w:eastAsia="zh-CN"/>
        </w:rPr>
        <w:t>2. 已审核的分场所（分中心、分部或不在一起的部门）、临时/流动场所信息</w:t>
      </w:r>
    </w:p>
    <w:p>
      <w:pPr>
        <w:spacing w:before="163" w:beforeLines="50"/>
        <w:ind w:left="-194" w:leftChars="-81" w:firstLine="632" w:firstLineChars="300"/>
        <w:rPr>
          <w:rFonts w:hint="eastAsia" w:ascii="宋体" w:hAnsi="宋体" w:cs="Times New Roman"/>
          <w:b/>
          <w:sz w:val="21"/>
          <w:szCs w:val="21"/>
          <w:lang w:eastAsia="zh-CN"/>
        </w:rPr>
      </w:pPr>
      <w:r>
        <w:rPr>
          <w:rFonts w:hint="eastAsia" w:ascii="宋体" w:hAnsi="宋体" w:cs="Times New Roman"/>
          <w:b/>
          <w:sz w:val="21"/>
          <w:szCs w:val="21"/>
          <w:lang w:eastAsia="zh-CN"/>
        </w:rPr>
        <w:t>成都市新都工业东区白云路468号成都金戈石油机械有限公司</w:t>
      </w:r>
    </w:p>
    <w:p>
      <w:pPr>
        <w:spacing w:before="163" w:beforeLines="50"/>
        <w:ind w:left="-194" w:leftChars="-81" w:firstLine="632" w:firstLineChars="300"/>
        <w:rPr>
          <w:rFonts w:hint="eastAsia" w:ascii="宋体" w:hAnsi="宋体"/>
          <w:b/>
          <w:sz w:val="21"/>
          <w:szCs w:val="21"/>
          <w:lang w:eastAsia="zh-CN"/>
        </w:rPr>
      </w:pPr>
      <w:r>
        <w:rPr>
          <w:rFonts w:hint="eastAsia" w:ascii="宋体" w:hAnsi="宋体"/>
          <w:b/>
          <w:sz w:val="21"/>
          <w:szCs w:val="21"/>
        </w:rPr>
        <w:t>临时场所名称、地址</w:t>
      </w:r>
      <w:r>
        <w:rPr>
          <w:rFonts w:hint="eastAsia" w:ascii="宋体" w:hAnsi="宋体"/>
          <w:b/>
          <w:sz w:val="21"/>
          <w:szCs w:val="21"/>
          <w:lang w:eastAsia="zh-CN"/>
        </w:rPr>
        <w:t>：</w:t>
      </w:r>
      <w:r>
        <w:rPr>
          <w:rFonts w:hint="eastAsia" w:ascii="宋体" w:hAnsi="宋体"/>
          <w:b/>
          <w:sz w:val="21"/>
          <w:szCs w:val="21"/>
          <w:lang w:val="en-US" w:eastAsia="zh-CN"/>
        </w:rPr>
        <w:t>五宝浅20</w:t>
      </w:r>
      <w:r>
        <w:rPr>
          <w:rFonts w:hint="eastAsia" w:ascii="宋体" w:hAnsi="宋体"/>
          <w:b/>
          <w:sz w:val="21"/>
          <w:szCs w:val="21"/>
          <w:lang w:eastAsia="zh-CN"/>
        </w:rPr>
        <w:t>井水基岩屑减量化技术服务</w:t>
      </w:r>
    </w:p>
    <w:p>
      <w:pPr>
        <w:spacing w:before="163" w:beforeLines="50"/>
        <w:ind w:left="-194" w:leftChars="-81" w:firstLine="2951" w:firstLineChars="1400"/>
      </w:pPr>
      <w:r>
        <w:rPr>
          <w:rFonts w:hint="eastAsia" w:ascii="宋体" w:hAnsi="宋体"/>
          <w:b/>
          <w:sz w:val="21"/>
          <w:szCs w:val="21"/>
        </w:rPr>
        <w:t>四川省</w:t>
      </w:r>
      <w:r>
        <w:rPr>
          <w:rFonts w:hint="eastAsia" w:ascii="宋体" w:hAnsi="宋体"/>
          <w:b/>
          <w:sz w:val="21"/>
          <w:szCs w:val="21"/>
          <w:lang w:val="en-US" w:eastAsia="zh-CN"/>
        </w:rPr>
        <w:t>广汉</w:t>
      </w:r>
      <w:r>
        <w:rPr>
          <w:rFonts w:hint="eastAsia" w:ascii="宋体" w:hAnsi="宋体"/>
          <w:b/>
          <w:sz w:val="21"/>
          <w:szCs w:val="21"/>
        </w:rPr>
        <w:t>市</w:t>
      </w:r>
      <w:r>
        <w:rPr>
          <w:rFonts w:hint="eastAsia" w:ascii="宋体" w:hAnsi="宋体"/>
          <w:b/>
          <w:sz w:val="21"/>
          <w:szCs w:val="21"/>
          <w:lang w:val="en-US" w:eastAsia="zh-CN"/>
        </w:rPr>
        <w:t xml:space="preserve">新丰镇沙河村 </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3. </w:t>
      </w:r>
      <w:r>
        <w:rPr>
          <w:rFonts w:hint="eastAsia" w:ascii="宋体" w:hAnsi="宋体"/>
          <w:b/>
          <w:sz w:val="21"/>
          <w:szCs w:val="21"/>
        </w:rPr>
        <w:t>已审核具体的产品</w:t>
      </w:r>
      <w:r>
        <w:rPr>
          <w:rFonts w:ascii="宋体" w:hAnsi="宋体"/>
          <w:b/>
          <w:sz w:val="21"/>
          <w:szCs w:val="21"/>
        </w:rPr>
        <w:t>/</w:t>
      </w:r>
      <w:r>
        <w:rPr>
          <w:rFonts w:hint="eastAsia" w:ascii="宋体" w:hAnsi="宋体"/>
          <w:b/>
          <w:sz w:val="21"/>
          <w:szCs w:val="21"/>
        </w:rPr>
        <w:t>服务</w:t>
      </w:r>
      <w:r>
        <w:rPr>
          <w:rFonts w:ascii="宋体" w:hAnsi="宋体"/>
          <w:b/>
          <w:sz w:val="21"/>
          <w:szCs w:val="21"/>
        </w:rPr>
        <w:t>/</w:t>
      </w:r>
      <w:r>
        <w:rPr>
          <w:rFonts w:hint="eastAsia" w:ascii="宋体" w:hAnsi="宋体"/>
          <w:b/>
          <w:sz w:val="21"/>
          <w:szCs w:val="21"/>
        </w:rPr>
        <w:t>型号</w:t>
      </w:r>
      <w:r>
        <w:rPr>
          <w:rFonts w:ascii="宋体" w:hAnsi="宋体"/>
          <w:b/>
          <w:sz w:val="21"/>
          <w:szCs w:val="21"/>
        </w:rPr>
        <w:t>/</w:t>
      </w:r>
      <w:r>
        <w:rPr>
          <w:rFonts w:hint="eastAsia" w:ascii="宋体" w:hAnsi="宋体"/>
          <w:b/>
          <w:sz w:val="21"/>
          <w:szCs w:val="21"/>
        </w:rPr>
        <w:t>类型</w:t>
      </w:r>
      <w:r>
        <w:rPr>
          <w:rFonts w:ascii="宋体" w:hAnsi="宋体"/>
          <w:b/>
          <w:sz w:val="21"/>
          <w:szCs w:val="21"/>
        </w:rPr>
        <w:t>/</w:t>
      </w:r>
      <w:r>
        <w:rPr>
          <w:rFonts w:hint="eastAsia" w:ascii="宋体" w:hAnsi="宋体"/>
          <w:b/>
          <w:sz w:val="21"/>
          <w:szCs w:val="21"/>
        </w:rPr>
        <w:t>系列和过程（设计</w:t>
      </w:r>
      <w:r>
        <w:rPr>
          <w:rFonts w:ascii="宋体" w:hAnsi="宋体"/>
          <w:b/>
          <w:sz w:val="21"/>
          <w:szCs w:val="21"/>
        </w:rPr>
        <w:t>/</w:t>
      </w:r>
      <w:r>
        <w:rPr>
          <w:rFonts w:hint="eastAsia" w:ascii="宋体" w:hAnsi="宋体"/>
          <w:b/>
          <w:sz w:val="21"/>
          <w:szCs w:val="21"/>
        </w:rPr>
        <w:t>生产┄┄）是石油钻井机械部件的生产和修理技术服务；钻井油泥、泥浆的固液分离处理;</w:t>
      </w:r>
    </w:p>
    <w:p>
      <w:pPr>
        <w:spacing w:line="360" w:lineRule="atLeast"/>
        <w:ind w:firstLine="211" w:firstLineChars="100"/>
        <w:rPr>
          <w:rFonts w:ascii="宋体" w:hAnsi="宋体"/>
          <w:b/>
          <w:sz w:val="21"/>
          <w:szCs w:val="21"/>
        </w:rPr>
      </w:pPr>
      <w:r>
        <w:rPr>
          <w:rFonts w:hint="eastAsia" w:ascii="宋体" w:hAnsi="宋体"/>
          <w:b/>
          <w:sz w:val="21"/>
          <w:szCs w:val="21"/>
          <w:lang w:eastAsia="zh-CN"/>
        </w:rPr>
        <w:t>□</w:t>
      </w:r>
      <w:r>
        <w:rPr>
          <w:rFonts w:hint="eastAsia" w:ascii="宋体" w:hAnsi="宋体"/>
          <w:b/>
          <w:sz w:val="21"/>
          <w:szCs w:val="21"/>
        </w:rPr>
        <w:t>本次审核新增加范围的产品</w:t>
      </w:r>
      <w:r>
        <w:rPr>
          <w:rFonts w:ascii="宋体" w:hAnsi="宋体"/>
          <w:b/>
          <w:sz w:val="21"/>
          <w:szCs w:val="21"/>
        </w:rPr>
        <w:t>/</w:t>
      </w:r>
      <w:r>
        <w:rPr>
          <w:rFonts w:hint="eastAsia" w:ascii="宋体" w:hAnsi="宋体"/>
          <w:b/>
          <w:sz w:val="21"/>
          <w:szCs w:val="21"/>
        </w:rPr>
        <w:t>服务抽查了、</w:t>
      </w:r>
    </w:p>
    <w:p>
      <w:pPr>
        <w:spacing w:line="360" w:lineRule="atLeast"/>
        <w:rPr>
          <w:rFonts w:ascii="宋体" w:hAnsi="宋体"/>
          <w:b/>
          <w:sz w:val="21"/>
          <w:szCs w:val="21"/>
        </w:rPr>
      </w:pPr>
      <w:r>
        <w:rPr>
          <w:rFonts w:ascii="宋体" w:hAnsi="宋体"/>
          <w:b/>
          <w:sz w:val="21"/>
          <w:szCs w:val="21"/>
        </w:rPr>
        <w:t xml:space="preserve">4. </w:t>
      </w:r>
      <w:r>
        <w:rPr>
          <w:rFonts w:hint="eastAsia" w:ascii="宋体" w:hAnsi="宋体"/>
          <w:b/>
          <w:sz w:val="21"/>
          <w:szCs w:val="21"/>
        </w:rPr>
        <w:t>本次审核覆盖时间：从上次审核结束日的</w:t>
      </w:r>
      <w:r>
        <w:rPr>
          <w:rFonts w:hint="eastAsia" w:ascii="宋体" w:hAnsi="宋体"/>
          <w:b/>
          <w:color w:val="000000"/>
          <w:sz w:val="21"/>
          <w:szCs w:val="21"/>
          <w:lang w:val="en-US" w:eastAsia="zh-CN"/>
        </w:rPr>
        <w:t>2019</w:t>
      </w:r>
      <w:r>
        <w:rPr>
          <w:rFonts w:hint="eastAsia" w:ascii="宋体" w:hAnsi="宋体"/>
          <w:b/>
          <w:sz w:val="21"/>
          <w:szCs w:val="21"/>
        </w:rPr>
        <w:t>年</w:t>
      </w:r>
      <w:r>
        <w:rPr>
          <w:rFonts w:hint="eastAsia" w:ascii="宋体" w:hAnsi="宋体"/>
          <w:b/>
          <w:color w:val="000000"/>
          <w:sz w:val="21"/>
          <w:szCs w:val="21"/>
          <w:lang w:val="en-US" w:eastAsia="zh-CN"/>
        </w:rPr>
        <w:t>8</w:t>
      </w:r>
      <w:r>
        <w:rPr>
          <w:rFonts w:hint="eastAsia" w:ascii="宋体" w:hAnsi="宋体"/>
          <w:b/>
          <w:sz w:val="21"/>
          <w:szCs w:val="21"/>
        </w:rPr>
        <w:t>月</w:t>
      </w:r>
      <w:r>
        <w:rPr>
          <w:rFonts w:hint="eastAsia" w:ascii="宋体" w:hAnsi="宋体"/>
          <w:b/>
          <w:color w:val="000000"/>
          <w:sz w:val="21"/>
          <w:szCs w:val="21"/>
          <w:lang w:val="en-US" w:eastAsia="zh-CN"/>
        </w:rPr>
        <w:t>8</w:t>
      </w:r>
      <w:r>
        <w:rPr>
          <w:rFonts w:hint="eastAsia" w:ascii="宋体" w:hAnsi="宋体"/>
          <w:b/>
          <w:sz w:val="21"/>
          <w:szCs w:val="21"/>
        </w:rPr>
        <w:t>日至</w:t>
      </w:r>
      <w:r>
        <w:rPr>
          <w:rFonts w:hint="eastAsia" w:ascii="宋体" w:hAnsi="宋体"/>
          <w:b/>
          <w:sz w:val="21"/>
          <w:szCs w:val="21"/>
          <w:lang w:val="en-US" w:eastAsia="zh-CN"/>
        </w:rPr>
        <w:t>2020</w:t>
      </w:r>
      <w:r>
        <w:rPr>
          <w:rFonts w:hint="eastAsia" w:ascii="宋体" w:hAnsi="宋体"/>
          <w:b/>
          <w:sz w:val="21"/>
          <w:szCs w:val="21"/>
        </w:rPr>
        <w:t>年</w:t>
      </w:r>
      <w:r>
        <w:rPr>
          <w:rFonts w:hint="eastAsia" w:ascii="宋体" w:hAnsi="宋体"/>
          <w:b/>
          <w:sz w:val="21"/>
          <w:szCs w:val="21"/>
          <w:lang w:val="en-US" w:eastAsia="zh-CN"/>
        </w:rPr>
        <w:t>9</w:t>
      </w:r>
      <w:r>
        <w:rPr>
          <w:rFonts w:hint="eastAsia" w:ascii="宋体" w:hAnsi="宋体"/>
          <w:b/>
          <w:sz w:val="21"/>
          <w:szCs w:val="21"/>
        </w:rPr>
        <w:t>月</w:t>
      </w:r>
      <w:r>
        <w:rPr>
          <w:rFonts w:hint="eastAsia" w:ascii="宋体" w:hAnsi="宋体"/>
          <w:b/>
          <w:sz w:val="21"/>
          <w:szCs w:val="21"/>
          <w:lang w:val="en-US" w:eastAsia="zh-CN"/>
        </w:rPr>
        <w:t>7</w:t>
      </w:r>
      <w:r>
        <w:rPr>
          <w:rFonts w:hint="eastAsia" w:ascii="宋体" w:hAnsi="宋体"/>
          <w:b/>
          <w:sz w:val="21"/>
          <w:szCs w:val="21"/>
        </w:rPr>
        <w:t>日</w:t>
      </w:r>
    </w:p>
    <w:p>
      <w:pPr>
        <w:spacing w:line="360" w:lineRule="auto"/>
        <w:rPr>
          <w:rFonts w:ascii="宋体" w:hAnsi="宋体"/>
          <w:b/>
          <w:sz w:val="21"/>
          <w:szCs w:val="21"/>
        </w:rPr>
      </w:pPr>
      <w:r>
        <w:rPr>
          <w:rFonts w:ascii="宋体" w:hAnsi="宋体"/>
          <w:b/>
          <w:sz w:val="21"/>
          <w:szCs w:val="21"/>
        </w:rPr>
        <w:t xml:space="preserve">5. </w:t>
      </w:r>
      <w:r>
        <w:rPr>
          <w:rFonts w:hint="eastAsia" w:ascii="宋体" w:hAnsi="宋体"/>
          <w:b/>
          <w:sz w:val="21"/>
          <w:szCs w:val="21"/>
        </w:rPr>
        <w:t>完成情况说明</w:t>
      </w:r>
      <w:r>
        <w:rPr>
          <w:rFonts w:ascii="宋体" w:hAnsi="宋体"/>
          <w:b/>
          <w:sz w:val="21"/>
          <w:szCs w:val="21"/>
        </w:rPr>
        <w:t>:</w:t>
      </w:r>
    </w:p>
    <w:p>
      <w:pPr>
        <w:spacing w:line="360" w:lineRule="auto"/>
        <w:ind w:left="-211" w:leftChars="-88" w:firstLine="470" w:firstLineChars="223"/>
        <w:rPr>
          <w:rFonts w:ascii="宋体" w:hAnsi="宋体"/>
          <w:b/>
          <w:sz w:val="21"/>
          <w:szCs w:val="21"/>
        </w:rPr>
      </w:pPr>
      <w:r>
        <w:rPr>
          <w:rFonts w:hint="eastAsia" w:ascii="宋体" w:hAnsi="宋体"/>
          <w:b/>
          <w:sz w:val="21"/>
          <w:szCs w:val="21"/>
          <w:lang w:eastAsia="zh-CN"/>
        </w:rPr>
        <w:t>☑</w:t>
      </w:r>
      <w:r>
        <w:rPr>
          <w:rFonts w:hint="eastAsia" w:ascii="宋体" w:hAnsi="宋体"/>
          <w:b/>
          <w:sz w:val="21"/>
          <w:szCs w:val="21"/>
        </w:rPr>
        <w:t>已完成审核计划的全部工作</w:t>
      </w:r>
    </w:p>
    <w:p>
      <w:pPr>
        <w:spacing w:line="360" w:lineRule="auto"/>
        <w:ind w:left="-211" w:leftChars="-88" w:firstLine="470" w:firstLineChars="223"/>
        <w:rPr>
          <w:rFonts w:ascii="宋体" w:hAnsi="宋体"/>
          <w:b/>
          <w:sz w:val="21"/>
          <w:szCs w:val="21"/>
        </w:rPr>
      </w:pPr>
      <w:r>
        <w:rPr>
          <w:rFonts w:hint="eastAsia" w:ascii="宋体" w:hAnsi="宋体"/>
          <w:b/>
          <w:sz w:val="21"/>
          <w:szCs w:val="21"/>
        </w:rPr>
        <w:t>□计划有修改，但不会影响审核结论，修改的内容和原因是</w:t>
      </w:r>
    </w:p>
    <w:p>
      <w:pPr>
        <w:spacing w:line="360" w:lineRule="auto"/>
        <w:ind w:left="-211" w:leftChars="-88" w:firstLine="470" w:firstLineChars="223"/>
        <w:rPr>
          <w:rFonts w:ascii="宋体" w:hAnsi="宋体"/>
          <w:b/>
          <w:sz w:val="21"/>
          <w:szCs w:val="21"/>
        </w:rPr>
      </w:pPr>
      <w:r>
        <w:rPr>
          <w:rFonts w:hint="eastAsia" w:ascii="宋体" w:hAnsi="宋体"/>
          <w:b/>
          <w:sz w:val="21"/>
          <w:szCs w:val="21"/>
        </w:rPr>
        <w:t>□未完成计划，未完成的内容和原因是</w:t>
      </w:r>
      <w:r>
        <w:rPr>
          <w:rFonts w:ascii="宋体" w:hAnsi="宋体"/>
          <w:b/>
          <w:sz w:val="21"/>
          <w:szCs w:val="21"/>
        </w:rPr>
        <w:t>:</w:t>
      </w:r>
    </w:p>
    <w:p>
      <w:pPr>
        <w:tabs>
          <w:tab w:val="left" w:pos="645"/>
        </w:tabs>
        <w:spacing w:before="326" w:beforeLines="100" w:after="163" w:afterLines="50" w:line="360" w:lineRule="exact"/>
        <w:rPr>
          <w:b/>
          <w:sz w:val="26"/>
          <w:szCs w:val="26"/>
        </w:rPr>
      </w:pPr>
      <w:r>
        <w:rPr>
          <w:rFonts w:hint="eastAsia"/>
          <w:b/>
          <w:sz w:val="26"/>
          <w:szCs w:val="26"/>
        </w:rPr>
        <w:t>六、审核证据及审核发现综述、</w:t>
      </w:r>
    </w:p>
    <w:tbl>
      <w:tblPr>
        <w:tblStyle w:val="7"/>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7" w:hRule="atLeast"/>
          <w:jc w:val="center"/>
        </w:trPr>
        <w:tc>
          <w:tcPr>
            <w:tcW w:w="720" w:type="dxa"/>
            <w:vMerge w:val="restart"/>
            <w:textDirection w:val="tbRlV"/>
            <w:vAlign w:val="center"/>
          </w:tcPr>
          <w:p>
            <w:pPr>
              <w:spacing w:line="240" w:lineRule="exact"/>
              <w:ind w:left="241" w:right="113" w:hanging="241" w:hangingChars="100"/>
              <w:jc w:val="center"/>
              <w:rPr>
                <w:rFonts w:ascii="宋体"/>
                <w:b/>
                <w:szCs w:val="21"/>
              </w:rPr>
            </w:pPr>
            <w:r>
              <w:rPr>
                <w:rFonts w:ascii="宋体" w:hAnsi="宋体"/>
                <w:b/>
                <w:szCs w:val="21"/>
              </w:rPr>
              <w:t>(</w:t>
            </w:r>
            <w:r>
              <w:rPr>
                <w:rFonts w:hint="eastAsia" w:ascii="宋体" w:hAnsi="宋体"/>
                <w:b/>
                <w:szCs w:val="21"/>
              </w:rPr>
              <w:t>一</w:t>
            </w:r>
            <w:r>
              <w:rPr>
                <w:rFonts w:ascii="宋体" w:hAnsi="宋体"/>
                <w:b/>
                <w:szCs w:val="21"/>
              </w:rPr>
              <w:t>)</w:t>
            </w:r>
            <w:r>
              <w:rPr>
                <w:rFonts w:hint="eastAsia" w:ascii="宋体" w:hAnsi="宋体"/>
                <w:b/>
                <w:szCs w:val="21"/>
              </w:rPr>
              <w:t>策划的充分与合理性</w:t>
            </w:r>
          </w:p>
        </w:tc>
        <w:tc>
          <w:tcPr>
            <w:tcW w:w="9198" w:type="dxa"/>
          </w:tcPr>
          <w:p>
            <w:pPr>
              <w:spacing w:line="360" w:lineRule="auto"/>
              <w:rPr>
                <w:rFonts w:hint="eastAsia" w:ascii="宋体" w:hAnsi="宋体"/>
                <w:b/>
                <w:sz w:val="21"/>
                <w:szCs w:val="21"/>
              </w:rPr>
            </w:pPr>
            <w:r>
              <w:rPr>
                <w:rFonts w:ascii="宋体" w:hAnsi="宋体"/>
                <w:b/>
                <w:sz w:val="21"/>
                <w:szCs w:val="21"/>
              </w:rPr>
              <w:t>1</w:t>
            </w:r>
            <w:r>
              <w:rPr>
                <w:rFonts w:hint="eastAsia" w:ascii="宋体" w:hAnsi="宋体"/>
                <w:b/>
                <w:sz w:val="21"/>
                <w:szCs w:val="21"/>
              </w:rPr>
              <w:t>、组织及其环境的识别情况</w:t>
            </w:r>
          </w:p>
          <w:p>
            <w:pPr>
              <w:spacing w:line="360" w:lineRule="auto"/>
              <w:ind w:firstLine="210" w:firstLineChars="100"/>
              <w:rPr>
                <w:rFonts w:ascii="宋体" w:hAnsi="宋体"/>
                <w:b/>
                <w:sz w:val="21"/>
                <w:szCs w:val="21"/>
              </w:rPr>
            </w:pPr>
            <w:r>
              <w:rPr>
                <w:rFonts w:hint="eastAsia" w:ascii="宋体" w:hAnsi="宋体"/>
                <w:b w:val="0"/>
                <w:bCs/>
                <w:sz w:val="21"/>
                <w:szCs w:val="21"/>
              </w:rPr>
              <w:t>内外部环境、相关方的需求，其对政策、法规、经济、行业趋势等信息通过行业协会、社会关系、政府网站等渠道获得，包括客户以及其他相关方的要求进行了识别，对于所面临的复杂情况，寻找企业的生存出路，但目前仅限于在市场中寻求供应关系，有任命管理人员1名，负责协调、办公事务等综合管理，提高管理水平，控制成本的重要性已引起了公司管理层的重视。通过贯标，最高管理者和管理层增加了风险意识，分析了公司所处的内外部环境，面临的风险和机遇，并制定应对风险和机遇的措施，由相应的部门进行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7"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numPr>
                <w:ilvl w:val="0"/>
                <w:numId w:val="1"/>
              </w:numPr>
              <w:spacing w:line="360" w:lineRule="auto"/>
              <w:rPr>
                <w:rFonts w:hint="eastAsia" w:ascii="宋体" w:hAnsi="宋体"/>
                <w:b/>
                <w:sz w:val="21"/>
                <w:szCs w:val="21"/>
              </w:rPr>
            </w:pPr>
            <w:r>
              <w:rPr>
                <w:rFonts w:hint="eastAsia" w:ascii="宋体" w:hAnsi="宋体"/>
                <w:b/>
                <w:sz w:val="21"/>
                <w:szCs w:val="21"/>
              </w:rPr>
              <w:t>相关方需求和期望识别情况</w:t>
            </w:r>
          </w:p>
          <w:p>
            <w:pPr>
              <w:numPr>
                <w:ilvl w:val="0"/>
                <w:numId w:val="0"/>
              </w:numPr>
              <w:spacing w:line="360" w:lineRule="auto"/>
              <w:rPr>
                <w:rFonts w:ascii="宋体" w:hAnsi="宋体"/>
                <w:b/>
                <w:sz w:val="21"/>
                <w:szCs w:val="21"/>
              </w:rPr>
            </w:pPr>
            <w:r>
              <w:rPr>
                <w:rFonts w:hint="eastAsia" w:ascii="宋体" w:hAnsi="宋体"/>
                <w:b w:val="0"/>
                <w:bCs/>
                <w:sz w:val="21"/>
                <w:szCs w:val="21"/>
                <w:lang w:val="en-US" w:eastAsia="zh-CN"/>
              </w:rPr>
              <w:t xml:space="preserve">   </w:t>
            </w:r>
            <w:r>
              <w:rPr>
                <w:rFonts w:hint="eastAsia" w:ascii="宋体" w:hAnsi="宋体"/>
                <w:b w:val="0"/>
                <w:bCs/>
                <w:sz w:val="21"/>
                <w:szCs w:val="21"/>
              </w:rPr>
              <w:t xml:space="preserve">对相关方的评估、识别和控制各类风险和机遇，理解公司相关方的需求和期望，做到事先预防、合理规避和妥善处理公司各类经营风险和机遇，在管理体系过程中整合并实施风险和机遇所采取的措施，确保管理体系实现预期结果。相关方包括顾客、股东、员工、供应商、竞争对手、社会团体等。相关方期望和要求为价格、安全性、合同协议、行业规范标准等。识别的方法为：主动调查、水平对比等。检测指标或项目：顾客满意度、客户投诉率、供方评价表等。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numPr>
                <w:ilvl w:val="0"/>
                <w:numId w:val="2"/>
              </w:numPr>
              <w:spacing w:line="280" w:lineRule="exact"/>
              <w:rPr>
                <w:rFonts w:hint="eastAsia" w:ascii="宋体" w:hAnsi="宋体"/>
                <w:b/>
                <w:sz w:val="21"/>
                <w:szCs w:val="21"/>
              </w:rPr>
            </w:pPr>
            <w:r>
              <w:rPr>
                <w:rFonts w:hint="eastAsia" w:ascii="宋体" w:hAnsi="宋体"/>
                <w:b/>
                <w:sz w:val="21"/>
                <w:szCs w:val="21"/>
                <w:lang w:eastAsia="zh-CN"/>
              </w:rPr>
              <w:t>☑</w:t>
            </w:r>
            <w:r>
              <w:rPr>
                <w:rFonts w:hint="eastAsia" w:ascii="宋体" w:hAnsi="宋体"/>
                <w:b/>
                <w:sz w:val="21"/>
                <w:szCs w:val="21"/>
              </w:rPr>
              <w:t>质量</w:t>
            </w:r>
            <w:r>
              <w:rPr>
                <w:rFonts w:ascii="宋体" w:hAnsi="宋体"/>
                <w:b/>
                <w:sz w:val="21"/>
                <w:szCs w:val="21"/>
              </w:rPr>
              <w:t>/</w:t>
            </w:r>
            <w:r>
              <w:rPr>
                <w:rFonts w:hint="eastAsia" w:ascii="宋体" w:hAnsi="宋体"/>
                <w:b/>
                <w:sz w:val="21"/>
                <w:szCs w:val="21"/>
              </w:rPr>
              <w:t>□环境</w:t>
            </w:r>
            <w:r>
              <w:rPr>
                <w:rFonts w:ascii="宋体" w:hAnsi="宋体"/>
                <w:b/>
                <w:sz w:val="21"/>
                <w:szCs w:val="21"/>
              </w:rPr>
              <w:t>/</w:t>
            </w:r>
            <w:r>
              <w:rPr>
                <w:rFonts w:hint="eastAsia" w:ascii="宋体" w:hAnsi="宋体"/>
                <w:b/>
                <w:sz w:val="21"/>
                <w:szCs w:val="21"/>
              </w:rPr>
              <w:t>□职业健康安全方针（组织方针的适宜性</w:t>
            </w:r>
            <w:r>
              <w:rPr>
                <w:rFonts w:ascii="宋体" w:hAnsi="宋体"/>
                <w:b/>
                <w:sz w:val="21"/>
                <w:szCs w:val="21"/>
              </w:rPr>
              <w:t>/</w:t>
            </w:r>
            <w:r>
              <w:rPr>
                <w:rFonts w:hint="eastAsia" w:ascii="宋体" w:hAnsi="宋体"/>
                <w:b/>
                <w:sz w:val="21"/>
                <w:szCs w:val="21"/>
              </w:rPr>
              <w:t>持续适宜性、方针的传达及职工的理解等）</w:t>
            </w:r>
          </w:p>
          <w:p>
            <w:pPr>
              <w:numPr>
                <w:ilvl w:val="0"/>
                <w:numId w:val="0"/>
              </w:numPr>
              <w:spacing w:line="360" w:lineRule="auto"/>
              <w:rPr>
                <w:rFonts w:hint="eastAsia" w:ascii="宋体" w:hAnsi="宋体"/>
                <w:b w:val="0"/>
                <w:bCs/>
                <w:sz w:val="21"/>
                <w:szCs w:val="21"/>
              </w:rPr>
            </w:pPr>
            <w:r>
              <w:rPr>
                <w:rFonts w:hint="eastAsia" w:ascii="宋体" w:hAnsi="宋体"/>
                <w:b w:val="0"/>
                <w:bCs/>
                <w:sz w:val="21"/>
                <w:szCs w:val="21"/>
              </w:rPr>
              <w:t>公司的质量方针是：</w:t>
            </w:r>
          </w:p>
          <w:p>
            <w:pPr>
              <w:numPr>
                <w:ilvl w:val="0"/>
                <w:numId w:val="0"/>
              </w:numPr>
              <w:spacing w:line="360" w:lineRule="auto"/>
              <w:rPr>
                <w:rFonts w:hint="eastAsia" w:ascii="宋体" w:hAnsi="宋体"/>
                <w:b w:val="0"/>
                <w:bCs/>
                <w:sz w:val="21"/>
                <w:szCs w:val="21"/>
              </w:rPr>
            </w:pPr>
            <w:r>
              <w:rPr>
                <w:rFonts w:hint="eastAsia" w:ascii="宋体" w:hAnsi="宋体"/>
                <w:b w:val="0"/>
                <w:bCs/>
                <w:sz w:val="21"/>
                <w:szCs w:val="21"/>
              </w:rPr>
              <w:t>质量保生存、顾客满意；创新求发展、持续改进。</w:t>
            </w:r>
          </w:p>
          <w:p>
            <w:pPr>
              <w:spacing w:line="360" w:lineRule="auto"/>
              <w:rPr>
                <w:rFonts w:ascii="宋体" w:hAnsi="宋体"/>
                <w:b/>
                <w:sz w:val="21"/>
                <w:szCs w:val="21"/>
              </w:rPr>
            </w:pPr>
            <w:r>
              <w:rPr>
                <w:rFonts w:hint="eastAsia" w:ascii="宋体" w:hAnsi="宋体"/>
                <w:b w:val="0"/>
                <w:bCs/>
                <w:sz w:val="21"/>
                <w:szCs w:val="21"/>
              </w:rPr>
              <w:t>管理方针在内部适当的沟通，管理评审时进行了评审，方针适宜。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numPr>
                <w:ilvl w:val="0"/>
                <w:numId w:val="1"/>
              </w:numPr>
              <w:spacing w:line="360" w:lineRule="auto"/>
              <w:ind w:left="0" w:leftChars="0" w:firstLine="0" w:firstLineChars="0"/>
              <w:rPr>
                <w:rFonts w:hint="eastAsia" w:ascii="宋体" w:hAnsi="宋体"/>
                <w:b/>
                <w:sz w:val="21"/>
                <w:szCs w:val="21"/>
              </w:rPr>
            </w:pPr>
            <w:r>
              <w:rPr>
                <w:rFonts w:hint="eastAsia" w:ascii="宋体" w:hAnsi="宋体"/>
                <w:b/>
                <w:sz w:val="21"/>
                <w:szCs w:val="21"/>
              </w:rPr>
              <w:t>风险识别与控制策划</w:t>
            </w:r>
          </w:p>
          <w:p>
            <w:pPr>
              <w:numPr>
                <w:ilvl w:val="0"/>
                <w:numId w:val="0"/>
              </w:numPr>
              <w:spacing w:line="360" w:lineRule="auto"/>
              <w:ind w:leftChars="0" w:firstLine="420" w:firstLineChars="200"/>
              <w:rPr>
                <w:rFonts w:ascii="宋体" w:hAnsi="宋体"/>
                <w:b/>
                <w:sz w:val="21"/>
                <w:szCs w:val="21"/>
              </w:rPr>
            </w:pPr>
            <w:r>
              <w:rPr>
                <w:rFonts w:hint="eastAsia" w:ascii="宋体" w:hAnsi="宋体"/>
                <w:b w:val="0"/>
                <w:bCs/>
                <w:sz w:val="21"/>
                <w:szCs w:val="21"/>
              </w:rPr>
              <w:t>按《风险和机遇控制程序》，对组织内外的风险和机遇进行了策划。提供2020年《风险和机遇评估分析表》，识别了风险和机遇来源、风险和机遇内容、管理措施、责任部门、实时时间、评价措施等，应对措施与风险、机遇基本相适应，制定了新冠肺炎的风险及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sz w:val="20"/>
              </w:rPr>
            </w:pPr>
          </w:p>
        </w:tc>
        <w:tc>
          <w:tcPr>
            <w:tcW w:w="9198" w:type="dxa"/>
          </w:tcPr>
          <w:p>
            <w:pPr>
              <w:spacing w:line="360" w:lineRule="auto"/>
              <w:rPr>
                <w:rFonts w:ascii="宋体" w:hAnsi="宋体"/>
                <w:b/>
                <w:sz w:val="21"/>
                <w:szCs w:val="21"/>
              </w:rPr>
            </w:pPr>
            <w:r>
              <w:rPr>
                <w:rFonts w:ascii="宋体" w:hAnsi="宋体"/>
                <w:b/>
                <w:sz w:val="21"/>
                <w:szCs w:val="21"/>
              </w:rPr>
              <w:t>5.QMS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过程</w:t>
            </w:r>
          </w:p>
          <w:p>
            <w:pPr>
              <w:tabs>
                <w:tab w:val="left" w:pos="540"/>
              </w:tabs>
              <w:spacing w:line="360" w:lineRule="auto"/>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质量管理体系过程有：</w:t>
            </w:r>
          </w:p>
          <w:p>
            <w:pPr>
              <w:tabs>
                <w:tab w:val="left" w:pos="540"/>
              </w:tabs>
              <w:spacing w:line="360" w:lineRule="auto"/>
              <w:ind w:left="201" w:hanging="201" w:hangingChars="100"/>
              <w:rPr>
                <w:rFonts w:hint="eastAsia" w:ascii="宋体" w:hAnsi="宋体" w:eastAsia="宋体"/>
                <w:b/>
                <w:color w:val="000000" w:themeColor="text1"/>
                <w:sz w:val="20"/>
                <w:szCs w:val="20"/>
                <w:u w:val="single"/>
                <w:lang w:eastAsia="zh-CN"/>
              </w:rPr>
            </w:pPr>
            <w:r>
              <w:rPr>
                <w:rFonts w:hint="eastAsia" w:ascii="宋体" w:hAnsi="宋体"/>
                <w:b/>
                <w:color w:val="000000" w:themeColor="text1"/>
                <w:sz w:val="20"/>
                <w:szCs w:val="20"/>
              </w:rPr>
              <w:t>其中关键过程有</w:t>
            </w:r>
            <w:r>
              <w:rPr>
                <w:rFonts w:hint="eastAsia" w:ascii="宋体" w:hAnsi="宋体"/>
                <w:color w:val="000000" w:themeColor="text1"/>
                <w:sz w:val="20"/>
                <w:szCs w:val="20"/>
                <w:u w:val="single"/>
              </w:rPr>
              <w:t xml:space="preserve">焊接、组装过程 </w:t>
            </w:r>
            <w:r>
              <w:rPr>
                <w:rFonts w:hint="eastAsia" w:ascii="宋体" w:hAnsi="宋体"/>
                <w:b/>
                <w:color w:val="000000" w:themeColor="text1"/>
                <w:sz w:val="20"/>
                <w:szCs w:val="20"/>
                <w:u w:val="single"/>
                <w:lang w:eastAsia="zh-CN"/>
              </w:rPr>
              <w:t>，</w:t>
            </w:r>
          </w:p>
          <w:p>
            <w:pPr>
              <w:tabs>
                <w:tab w:val="left" w:pos="540"/>
              </w:tabs>
              <w:spacing w:line="360" w:lineRule="auto"/>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 xml:space="preserve">需要确认过程  </w:t>
            </w:r>
            <w:r>
              <w:rPr>
                <w:rFonts w:hint="eastAsia" w:ascii="宋体" w:hAnsi="宋体"/>
                <w:color w:val="000000" w:themeColor="text1"/>
                <w:sz w:val="20"/>
                <w:szCs w:val="20"/>
                <w:u w:val="single"/>
              </w:rPr>
              <w:t>焊接过程</w:t>
            </w:r>
            <w:r>
              <w:rPr>
                <w:rFonts w:hint="eastAsia" w:ascii="宋体" w:hAnsi="宋体"/>
                <w:b/>
                <w:color w:val="000000" w:themeColor="text1"/>
                <w:sz w:val="20"/>
                <w:szCs w:val="20"/>
                <w:u w:val="single"/>
              </w:rPr>
              <w:t>，</w:t>
            </w:r>
          </w:p>
          <w:p>
            <w:pPr>
              <w:tabs>
                <w:tab w:val="left" w:pos="540"/>
              </w:tabs>
              <w:spacing w:line="360" w:lineRule="auto"/>
              <w:ind w:left="201" w:hanging="201" w:hangingChars="100"/>
              <w:rPr>
                <w:rFonts w:ascii="宋体" w:hAnsi="宋体"/>
                <w:b/>
                <w:color w:val="000000" w:themeColor="text1"/>
                <w:sz w:val="20"/>
                <w:szCs w:val="20"/>
              </w:rPr>
            </w:pPr>
            <w:r>
              <w:rPr>
                <w:rFonts w:hint="eastAsia" w:ascii="宋体" w:hAnsi="宋体"/>
                <w:b/>
                <w:color w:val="000000" w:themeColor="text1"/>
                <w:sz w:val="20"/>
                <w:szCs w:val="20"/>
              </w:rPr>
              <w:t xml:space="preserve">不适用条款是  </w:t>
            </w:r>
            <w:r>
              <w:rPr>
                <w:rFonts w:hint="eastAsia" w:ascii="宋体" w:hAnsi="宋体"/>
                <w:color w:val="000000" w:themeColor="text1"/>
                <w:sz w:val="20"/>
                <w:szCs w:val="20"/>
                <w:u w:val="single"/>
              </w:rPr>
              <w:t xml:space="preserve">8.3条款 </w:t>
            </w:r>
            <w:r>
              <w:rPr>
                <w:rFonts w:hint="eastAsia" w:ascii="宋体" w:hAnsi="宋体"/>
                <w:b/>
                <w:color w:val="000000" w:themeColor="text1"/>
                <w:sz w:val="20"/>
                <w:szCs w:val="20"/>
              </w:rPr>
              <w:t xml:space="preserve">     ，不适用理由： </w:t>
            </w:r>
            <w:r>
              <w:rPr>
                <w:rFonts w:hint="eastAsia" w:ascii="宋体" w:hAnsi="宋体"/>
                <w:color w:val="000000" w:themeColor="text1"/>
                <w:sz w:val="20"/>
                <w:szCs w:val="20"/>
                <w:u w:val="single"/>
              </w:rPr>
              <w:t>按照标准和客户要求生产销售、维修技术服务和油泥泥浆废弃物的处理，不需再进行设计开发，删减适宜。</w:t>
            </w:r>
          </w:p>
          <w:p>
            <w:pPr>
              <w:tabs>
                <w:tab w:val="left" w:pos="540"/>
              </w:tabs>
              <w:spacing w:line="30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 xml:space="preserve">6. </w:t>
            </w:r>
            <w:r>
              <w:rPr>
                <w:rFonts w:hint="eastAsia" w:ascii="宋体" w:hAnsi="宋体"/>
                <w:b/>
                <w:sz w:val="21"/>
                <w:szCs w:val="21"/>
              </w:rPr>
              <w:t>□</w:t>
            </w:r>
            <w:r>
              <w:rPr>
                <w:rFonts w:ascii="宋体" w:hAnsi="宋体"/>
                <w:b/>
                <w:sz w:val="21"/>
                <w:szCs w:val="21"/>
              </w:rPr>
              <w:t>EMS</w:t>
            </w:r>
            <w:r>
              <w:rPr>
                <w:rFonts w:hint="eastAsia" w:ascii="宋体" w:hAnsi="宋体"/>
                <w:b/>
                <w:sz w:val="21"/>
                <w:szCs w:val="21"/>
              </w:rPr>
              <w:t>环境因素</w:t>
            </w:r>
          </w:p>
          <w:p>
            <w:pPr>
              <w:spacing w:line="300" w:lineRule="exact"/>
              <w:rPr>
                <w:rFonts w:ascii="宋体" w:hAnsi="宋体"/>
                <w:b/>
                <w:sz w:val="21"/>
                <w:szCs w:val="21"/>
              </w:rPr>
            </w:pPr>
            <w:r>
              <w:rPr>
                <w:rFonts w:hint="eastAsia" w:ascii="宋体" w:hAnsi="宋体"/>
                <w:b/>
                <w:sz w:val="21"/>
                <w:szCs w:val="21"/>
              </w:rPr>
              <w:t>（环境因素辨识是否充分、重要环境因素评价合理性，以及环境因素动态变更的及时性等）</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4"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 xml:space="preserve">7. </w:t>
            </w:r>
            <w:r>
              <w:rPr>
                <w:rFonts w:hint="eastAsia" w:ascii="宋体" w:hAnsi="宋体"/>
                <w:b/>
                <w:sz w:val="21"/>
                <w:szCs w:val="21"/>
              </w:rPr>
              <w:t>□</w:t>
            </w:r>
            <w:r>
              <w:rPr>
                <w:rFonts w:ascii="宋体" w:hAnsi="宋体"/>
                <w:b/>
                <w:sz w:val="21"/>
                <w:szCs w:val="21"/>
              </w:rPr>
              <w:t>OHSMS</w:t>
            </w:r>
            <w:r>
              <w:rPr>
                <w:rFonts w:hint="eastAsia" w:ascii="宋体" w:hAnsi="宋体"/>
                <w:b/>
                <w:sz w:val="21"/>
                <w:szCs w:val="21"/>
              </w:rPr>
              <w:t>职业健康安全危险源</w:t>
            </w:r>
          </w:p>
          <w:p>
            <w:pPr>
              <w:spacing w:line="240" w:lineRule="exact"/>
              <w:rPr>
                <w:rFonts w:ascii="宋体" w:hAnsi="宋体"/>
                <w:b/>
                <w:sz w:val="21"/>
                <w:szCs w:val="21"/>
              </w:rPr>
            </w:pPr>
            <w:r>
              <w:rPr>
                <w:rFonts w:hint="eastAsia" w:ascii="宋体" w:hAnsi="宋体"/>
                <w:b/>
                <w:sz w:val="21"/>
                <w:szCs w:val="21"/>
              </w:rPr>
              <w:t>（职业健康安全危险源辨识是否充分、风险评价合理性，以及风险评价动态变更的及时性等）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75"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ascii="宋体" w:hAnsi="宋体"/>
                <w:b/>
                <w:sz w:val="21"/>
                <w:szCs w:val="21"/>
              </w:rPr>
              <w:t xml:space="preserve">8. </w:t>
            </w:r>
            <w:r>
              <w:rPr>
                <w:rFonts w:hint="eastAsia" w:ascii="宋体" w:hAnsi="宋体"/>
                <w:b/>
                <w:sz w:val="21"/>
                <w:szCs w:val="21"/>
              </w:rPr>
              <w:t>法律法规及其他要求</w:t>
            </w:r>
          </w:p>
          <w:p>
            <w:pPr>
              <w:pStyle w:val="14"/>
              <w:numPr>
                <w:ilvl w:val="0"/>
                <w:numId w:val="3"/>
              </w:numPr>
              <w:tabs>
                <w:tab w:val="left" w:pos="540"/>
              </w:tabs>
              <w:spacing w:line="360" w:lineRule="auto"/>
              <w:ind w:firstLineChars="0"/>
              <w:rPr>
                <w:rFonts w:ascii="宋体" w:hAnsi="宋体"/>
                <w:b/>
                <w:color w:val="000000" w:themeColor="text1"/>
                <w:szCs w:val="21"/>
                <w:u w:val="single"/>
              </w:rPr>
            </w:pPr>
            <w:r>
              <w:rPr>
                <w:rFonts w:hint="eastAsia" w:ascii="宋体" w:hAnsi="宋体"/>
                <w:b/>
                <w:color w:val="000000" w:themeColor="text1"/>
                <w:szCs w:val="21"/>
              </w:rPr>
              <w:t>获取法律法规项，</w:t>
            </w:r>
            <w:r>
              <w:rPr>
                <w:rFonts w:hint="eastAsia" w:ascii="宋体" w:hAnsi="宋体"/>
                <w:color w:val="000000"/>
                <w:szCs w:val="21"/>
              </w:rPr>
              <w:t>■</w:t>
            </w:r>
            <w:r>
              <w:rPr>
                <w:rFonts w:hint="eastAsia" w:ascii="宋体" w:hAnsi="宋体"/>
                <w:b/>
                <w:color w:val="000000" w:themeColor="text1"/>
                <w:szCs w:val="21"/>
              </w:rPr>
              <w:t>法律法规获取充分，□法律法规获取有遗漏，缺少</w:t>
            </w:r>
          </w:p>
          <w:p>
            <w:pPr>
              <w:pStyle w:val="14"/>
              <w:numPr>
                <w:ilvl w:val="0"/>
                <w:numId w:val="3"/>
              </w:numPr>
              <w:tabs>
                <w:tab w:val="left" w:pos="540"/>
              </w:tabs>
              <w:spacing w:line="360" w:lineRule="auto"/>
              <w:ind w:firstLineChars="0"/>
              <w:rPr>
                <w:rFonts w:ascii="宋体" w:hAnsi="宋体"/>
                <w:b/>
                <w:color w:val="000000" w:themeColor="text1"/>
                <w:szCs w:val="21"/>
              </w:rPr>
            </w:pPr>
            <w:r>
              <w:rPr>
                <w:rFonts w:hint="eastAsia" w:ascii="宋体" w:hAnsi="宋体"/>
                <w:b/>
                <w:color w:val="000000" w:themeColor="text1"/>
                <w:szCs w:val="21"/>
              </w:rPr>
              <w:t>结合公司的</w:t>
            </w:r>
            <w:r>
              <w:rPr>
                <w:rFonts w:hint="eastAsia" w:ascii="宋体" w:hAnsi="宋体"/>
                <w:color w:val="000000"/>
                <w:szCs w:val="21"/>
              </w:rPr>
              <w:t>■</w:t>
            </w:r>
            <w:r>
              <w:rPr>
                <w:rFonts w:hint="eastAsia" w:ascii="宋体" w:hAnsi="宋体"/>
                <w:b/>
                <w:color w:val="000000" w:themeColor="text1"/>
                <w:szCs w:val="21"/>
              </w:rPr>
              <w:t>产品/服务□环境因素□危险源，</w:t>
            </w:r>
            <w:r>
              <w:rPr>
                <w:rFonts w:hint="eastAsia" w:ascii="宋体" w:hAnsi="宋体"/>
                <w:color w:val="000000"/>
                <w:szCs w:val="21"/>
              </w:rPr>
              <w:t>■</w:t>
            </w:r>
            <w:r>
              <w:rPr>
                <w:rFonts w:hint="eastAsia" w:ascii="宋体" w:hAnsi="宋体"/>
                <w:b/>
                <w:color w:val="000000" w:themeColor="text1"/>
                <w:szCs w:val="21"/>
              </w:rPr>
              <w:t>确定 □未确定法律法规要求的具体条款，</w:t>
            </w:r>
          </w:p>
          <w:p>
            <w:pPr>
              <w:pStyle w:val="14"/>
              <w:numPr>
                <w:ilvl w:val="0"/>
                <w:numId w:val="3"/>
              </w:numPr>
              <w:tabs>
                <w:tab w:val="left" w:pos="540"/>
              </w:tabs>
              <w:spacing w:line="360" w:lineRule="auto"/>
              <w:ind w:firstLineChars="0"/>
              <w:rPr>
                <w:rFonts w:ascii="宋体" w:hAnsi="宋体"/>
                <w:szCs w:val="21"/>
                <w:u w:val="single"/>
              </w:rPr>
            </w:pPr>
            <w:r>
              <w:rPr>
                <w:rFonts w:hint="eastAsia" w:ascii="宋体" w:hAnsi="宋体"/>
                <w:b/>
                <w:color w:val="000000" w:themeColor="text1"/>
                <w:szCs w:val="21"/>
              </w:rPr>
              <w:t>法律法规的宣传方式：</w:t>
            </w:r>
            <w:r>
              <w:rPr>
                <w:rFonts w:hint="eastAsia" w:ascii="宋体" w:hAnsi="宋体"/>
                <w:szCs w:val="21"/>
                <w:u w:val="single"/>
              </w:rPr>
              <w:t>公司通过培训、会议等方式向有关员工传达法律、法规及其它要求的相关要求。</w:t>
            </w:r>
          </w:p>
          <w:p>
            <w:pPr>
              <w:pStyle w:val="14"/>
              <w:numPr>
                <w:ilvl w:val="0"/>
                <w:numId w:val="3"/>
              </w:numPr>
              <w:tabs>
                <w:tab w:val="left" w:pos="540"/>
              </w:tabs>
              <w:spacing w:line="360" w:lineRule="auto"/>
              <w:ind w:firstLineChars="0"/>
              <w:rPr>
                <w:rFonts w:ascii="宋体" w:hAnsi="宋体"/>
                <w:b/>
                <w:color w:val="000000" w:themeColor="text1"/>
                <w:szCs w:val="21"/>
              </w:rPr>
            </w:pPr>
            <w:r>
              <w:rPr>
                <w:rFonts w:hint="eastAsia" w:ascii="宋体" w:hAnsi="宋体"/>
                <w:b/>
                <w:color w:val="000000" w:themeColor="text1"/>
                <w:szCs w:val="21"/>
              </w:rPr>
              <w:t>法律法规要求及时更新了：</w:t>
            </w:r>
            <w:r>
              <w:rPr>
                <w:rFonts w:hint="eastAsia" w:ascii="宋体" w:hAnsi="宋体"/>
                <w:szCs w:val="21"/>
                <w:u w:val="single"/>
              </w:rPr>
              <w:t>为最新版本，每年更新一次。</w:t>
            </w:r>
          </w:p>
          <w:p>
            <w:pPr>
              <w:tabs>
                <w:tab w:val="left" w:pos="0"/>
              </w:tabs>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ascii="宋体" w:hAnsi="宋体"/>
                <w:b/>
                <w:sz w:val="21"/>
                <w:szCs w:val="21"/>
              </w:rPr>
              <w:t xml:space="preserve">5. </w:t>
            </w:r>
            <w:r>
              <w:rPr>
                <w:rFonts w:hint="eastAsia" w:ascii="宋体" w:hAnsi="宋体"/>
                <w:b/>
                <w:sz w:val="21"/>
                <w:szCs w:val="21"/>
              </w:rPr>
              <w:t>目标、方案</w:t>
            </w:r>
          </w:p>
          <w:p>
            <w:pPr>
              <w:spacing w:line="300" w:lineRule="exact"/>
              <w:rPr>
                <w:rFonts w:ascii="宋体" w:hAnsi="宋体"/>
                <w:b/>
                <w:sz w:val="21"/>
                <w:szCs w:val="21"/>
              </w:rPr>
            </w:pPr>
            <w:r>
              <w:rPr>
                <w:rFonts w:hint="eastAsia" w:ascii="宋体" w:hAnsi="宋体"/>
                <w:b/>
                <w:sz w:val="21"/>
                <w:szCs w:val="21"/>
              </w:rPr>
              <w:t>（在相关层次上建立可测量的目标，目标、方案的有效性，对质量目标的实现情况进行评价并叙述测量方法）</w:t>
            </w:r>
          </w:p>
          <w:p>
            <w:pPr>
              <w:spacing w:line="360" w:lineRule="auto"/>
              <w:rPr>
                <w:rFonts w:ascii="宋体" w:hAnsi="宋体"/>
                <w:sz w:val="21"/>
                <w:szCs w:val="21"/>
              </w:rPr>
            </w:pPr>
            <w:r>
              <w:rPr>
                <w:rFonts w:hint="eastAsia" w:ascii="宋体" w:hAnsi="宋体"/>
                <w:sz w:val="21"/>
                <w:szCs w:val="21"/>
              </w:rPr>
              <w:t>公司质量目标：</w:t>
            </w:r>
          </w:p>
          <w:p>
            <w:pPr>
              <w:numPr>
                <w:ilvl w:val="0"/>
                <w:numId w:val="4"/>
              </w:numPr>
              <w:spacing w:line="440" w:lineRule="exact"/>
              <w:ind w:left="851" w:hanging="403"/>
              <w:rPr>
                <w:rFonts w:ascii="宋体" w:hAnsi="宋体"/>
                <w:sz w:val="21"/>
                <w:szCs w:val="21"/>
              </w:rPr>
            </w:pPr>
            <w:r>
              <w:rPr>
                <w:rFonts w:hint="eastAsia" w:ascii="宋体" w:hAnsi="宋体"/>
                <w:sz w:val="21"/>
                <w:szCs w:val="21"/>
              </w:rPr>
              <w:t>产品/服务交付及时率100%；</w:t>
            </w:r>
          </w:p>
          <w:p>
            <w:pPr>
              <w:numPr>
                <w:ilvl w:val="0"/>
                <w:numId w:val="5"/>
              </w:numPr>
              <w:tabs>
                <w:tab w:val="left" w:pos="855"/>
              </w:tabs>
              <w:spacing w:line="440" w:lineRule="exact"/>
              <w:ind w:left="851" w:hanging="403"/>
              <w:rPr>
                <w:rFonts w:ascii="宋体" w:hAnsi="宋体"/>
                <w:sz w:val="21"/>
                <w:szCs w:val="21"/>
              </w:rPr>
            </w:pPr>
            <w:r>
              <w:rPr>
                <w:rFonts w:hint="eastAsia" w:ascii="宋体" w:hAnsi="宋体"/>
                <w:sz w:val="21"/>
                <w:szCs w:val="21"/>
              </w:rPr>
              <w:t>产品顾客验收合格率100%；</w:t>
            </w:r>
          </w:p>
          <w:p>
            <w:pPr>
              <w:numPr>
                <w:ilvl w:val="0"/>
                <w:numId w:val="5"/>
              </w:numPr>
              <w:tabs>
                <w:tab w:val="left" w:pos="855"/>
              </w:tabs>
              <w:spacing w:line="440" w:lineRule="exact"/>
              <w:ind w:left="851" w:hanging="403"/>
              <w:rPr>
                <w:rFonts w:ascii="宋体" w:hAnsi="宋体"/>
                <w:sz w:val="21"/>
                <w:szCs w:val="21"/>
              </w:rPr>
            </w:pPr>
            <w:r>
              <w:rPr>
                <w:rFonts w:hint="eastAsia" w:ascii="宋体" w:hAnsi="宋体"/>
                <w:sz w:val="21"/>
                <w:szCs w:val="21"/>
              </w:rPr>
              <w:t>顾客满意率≥90%。</w:t>
            </w:r>
          </w:p>
          <w:p>
            <w:pPr>
              <w:spacing w:line="360" w:lineRule="auto"/>
              <w:ind w:firstLine="420" w:firstLineChars="200"/>
              <w:rPr>
                <w:rFonts w:ascii="宋体" w:hAnsi="宋体"/>
                <w:sz w:val="21"/>
                <w:szCs w:val="21"/>
              </w:rPr>
            </w:pPr>
            <w:r>
              <w:rPr>
                <w:rFonts w:hint="eastAsia" w:ascii="宋体" w:hAnsi="宋体"/>
                <w:sz w:val="21"/>
                <w:szCs w:val="21"/>
              </w:rPr>
              <w:t>目标已分解到各部门。</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2" w:hRule="atLeast"/>
          <w:jc w:val="center"/>
        </w:trPr>
        <w:tc>
          <w:tcPr>
            <w:tcW w:w="720" w:type="dxa"/>
            <w:vMerge w:val="continue"/>
            <w:vAlign w:val="center"/>
          </w:tcPr>
          <w:p>
            <w:pPr>
              <w:spacing w:line="240" w:lineRule="exact"/>
              <w:jc w:val="center"/>
              <w:rPr>
                <w:b/>
                <w:sz w:val="20"/>
              </w:rPr>
            </w:pPr>
          </w:p>
        </w:tc>
        <w:tc>
          <w:tcPr>
            <w:tcW w:w="9198" w:type="dxa"/>
          </w:tcPr>
          <w:p>
            <w:pPr>
              <w:spacing w:line="360" w:lineRule="auto"/>
              <w:rPr>
                <w:rFonts w:ascii="宋体" w:hAnsi="宋体"/>
                <w:b/>
                <w:sz w:val="21"/>
                <w:szCs w:val="21"/>
              </w:rPr>
            </w:pPr>
            <w:r>
              <w:rPr>
                <w:rFonts w:ascii="宋体" w:hAnsi="宋体"/>
                <w:b/>
                <w:sz w:val="21"/>
                <w:szCs w:val="21"/>
              </w:rPr>
              <w:t xml:space="preserve">6. </w:t>
            </w:r>
            <w:r>
              <w:rPr>
                <w:rFonts w:hint="eastAsia" w:ascii="宋体" w:hAnsi="宋体"/>
                <w:b/>
                <w:sz w:val="21"/>
                <w:szCs w:val="21"/>
              </w:rPr>
              <w:t>文件与记录控制</w:t>
            </w:r>
            <w:r>
              <w:rPr>
                <w:rFonts w:ascii="宋体" w:hAnsi="宋体"/>
                <w:b/>
                <w:sz w:val="21"/>
                <w:szCs w:val="21"/>
              </w:rPr>
              <w:t>(</w:t>
            </w:r>
            <w:r>
              <w:rPr>
                <w:rFonts w:hint="eastAsia" w:ascii="宋体" w:hAnsi="宋体"/>
                <w:b/>
                <w:sz w:val="21"/>
                <w:szCs w:val="21"/>
              </w:rPr>
              <w:t>文审修订后文件与标准的符合程度评价、文件控制管理等</w:t>
            </w:r>
            <w:r>
              <w:rPr>
                <w:rFonts w:ascii="宋体" w:hAnsi="宋体"/>
                <w:b/>
                <w:sz w:val="21"/>
                <w:szCs w:val="21"/>
              </w:rPr>
              <w:t>)</w:t>
            </w:r>
          </w:p>
          <w:p>
            <w:pPr>
              <w:tabs>
                <w:tab w:val="left" w:pos="540"/>
              </w:tabs>
              <w:spacing w:line="360" w:lineRule="auto"/>
              <w:rPr>
                <w:rFonts w:hint="eastAsia" w:ascii="宋体" w:hAnsi="宋体"/>
                <w:b/>
                <w:sz w:val="21"/>
                <w:szCs w:val="21"/>
              </w:rPr>
            </w:pPr>
            <w:r>
              <w:rPr>
                <w:rFonts w:hint="eastAsia" w:ascii="宋体" w:hAnsi="宋体"/>
                <w:b/>
                <w:sz w:val="21"/>
                <w:szCs w:val="21"/>
              </w:rPr>
              <w:t>体系文件符合公司要求，文件和记录管理控制符合标准要求。</w:t>
            </w:r>
          </w:p>
          <w:p>
            <w:pPr>
              <w:tabs>
                <w:tab w:val="left" w:pos="540"/>
              </w:tabs>
              <w:spacing w:line="360" w:lineRule="auto"/>
              <w:rPr>
                <w:rFonts w:ascii="宋体" w:hAnsi="宋体"/>
                <w:b/>
                <w:sz w:val="21"/>
                <w:szCs w:val="21"/>
              </w:rPr>
            </w:pPr>
            <w:r>
              <w:rPr>
                <w:rFonts w:ascii="宋体" w:hAnsi="宋体"/>
                <w:sz w:val="21"/>
                <w:szCs w:val="21"/>
                <w:u w:val="none"/>
              </w:rPr>
              <w:t>体系文件符合公司要求</w:t>
            </w:r>
            <w:r>
              <w:rPr>
                <w:rFonts w:hint="eastAsia" w:ascii="宋体" w:hAnsi="宋体"/>
                <w:sz w:val="21"/>
                <w:szCs w:val="21"/>
                <w:u w:val="none"/>
              </w:rPr>
              <w:t>，</w:t>
            </w:r>
            <w:r>
              <w:rPr>
                <w:rFonts w:ascii="宋体" w:hAnsi="宋体"/>
                <w:sz w:val="21"/>
                <w:szCs w:val="21"/>
                <w:u w:val="none"/>
              </w:rPr>
              <w:t>文件和记录管理控制符合标准要求</w:t>
            </w:r>
            <w:r>
              <w:rPr>
                <w:rFonts w:hint="eastAsia" w:ascii="宋体" w:hAnsi="宋体"/>
                <w:sz w:val="21"/>
                <w:szCs w:val="21"/>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8" w:hRule="atLeast"/>
          <w:jc w:val="center"/>
        </w:trPr>
        <w:tc>
          <w:tcPr>
            <w:tcW w:w="720" w:type="dxa"/>
            <w:vMerge w:val="restart"/>
            <w:textDirection w:val="tbRlV"/>
            <w:vAlign w:val="center"/>
          </w:tcPr>
          <w:p>
            <w:pPr>
              <w:spacing w:line="240" w:lineRule="exact"/>
              <w:ind w:left="113" w:right="113"/>
              <w:jc w:val="center"/>
              <w:rPr>
                <w:b/>
                <w:szCs w:val="21"/>
              </w:rPr>
            </w:pPr>
            <w:r>
              <w:rPr>
                <w:b/>
                <w:szCs w:val="21"/>
              </w:rPr>
              <w:br w:type="page"/>
            </w:r>
            <w:r>
              <w:rPr>
                <w:rFonts w:ascii="宋体" w:hAnsi="宋体"/>
                <w:b/>
                <w:szCs w:val="21"/>
              </w:rPr>
              <w:t>(</w:t>
            </w:r>
            <w:r>
              <w:rPr>
                <w:rFonts w:hint="eastAsia" w:ascii="宋体" w:hAnsi="宋体"/>
                <w:b/>
                <w:szCs w:val="21"/>
              </w:rPr>
              <w:t>二</w:t>
            </w:r>
            <w:r>
              <w:rPr>
                <w:rFonts w:ascii="宋体" w:hAnsi="宋体"/>
                <w:b/>
                <w:szCs w:val="21"/>
              </w:rPr>
              <w:t>)</w:t>
            </w:r>
            <w:r>
              <w:rPr>
                <w:rFonts w:hint="eastAsia" w:ascii="宋体" w:hAnsi="宋体"/>
                <w:b/>
                <w:szCs w:val="21"/>
              </w:rPr>
              <w:t>资源评价</w:t>
            </w:r>
          </w:p>
        </w:tc>
        <w:tc>
          <w:tcPr>
            <w:tcW w:w="9198" w:type="dxa"/>
          </w:tcPr>
          <w:p>
            <w:pPr>
              <w:spacing w:line="360" w:lineRule="auto"/>
              <w:rPr>
                <w:rFonts w:ascii="宋体" w:hAnsi="宋体"/>
                <w:b/>
                <w:sz w:val="21"/>
                <w:szCs w:val="21"/>
              </w:rPr>
            </w:pPr>
            <w:r>
              <w:rPr>
                <w:rFonts w:hint="eastAsia" w:ascii="宋体" w:hAnsi="宋体"/>
                <w:b/>
                <w:sz w:val="21"/>
                <w:szCs w:val="21"/>
              </w:rPr>
              <w:t>人力资源的简要说明</w:t>
            </w:r>
            <w:r>
              <w:rPr>
                <w:rFonts w:ascii="宋体" w:hAnsi="宋体"/>
                <w:b/>
                <w:sz w:val="21"/>
                <w:szCs w:val="21"/>
              </w:rPr>
              <w:t>.:</w:t>
            </w:r>
          </w:p>
          <w:p>
            <w:pPr>
              <w:spacing w:line="360" w:lineRule="auto"/>
              <w:rPr>
                <w:rFonts w:ascii="宋体" w:hAnsi="宋体"/>
                <w:b/>
                <w:sz w:val="21"/>
                <w:szCs w:val="21"/>
              </w:rPr>
            </w:pPr>
            <w:r>
              <w:rPr>
                <w:rFonts w:hint="eastAsia" w:ascii="宋体" w:hAnsi="宋体"/>
                <w:b w:val="0"/>
                <w:bCs/>
                <w:sz w:val="21"/>
                <w:szCs w:val="21"/>
              </w:rPr>
              <w:t>编制了人力资源管理程序，制定培训计划，定期组织相关培训，能满足上岗要求。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0"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设备设施（包括信息系统）、</w:t>
            </w:r>
          </w:p>
          <w:p>
            <w:pPr>
              <w:spacing w:line="240" w:lineRule="exact"/>
              <w:rPr>
                <w:rFonts w:ascii="宋体" w:hAnsi="宋体"/>
                <w:b/>
                <w:sz w:val="21"/>
                <w:szCs w:val="21"/>
              </w:rPr>
            </w:pPr>
          </w:p>
          <w:p>
            <w:pPr>
              <w:spacing w:line="360" w:lineRule="auto"/>
              <w:rPr>
                <w:rFonts w:ascii="宋体" w:hAnsi="宋体"/>
                <w:b/>
                <w:sz w:val="21"/>
                <w:szCs w:val="21"/>
              </w:rPr>
            </w:pPr>
            <w:r>
              <w:rPr>
                <w:rFonts w:hint="eastAsia" w:ascii="宋体" w:hAnsi="宋体"/>
                <w:b w:val="0"/>
                <w:bCs/>
                <w:sz w:val="21"/>
                <w:szCs w:val="21"/>
              </w:rPr>
              <w:t>主要设备有：剪板机、车床、锯床、刨床、压力机、钻床、切割机、电焊机、五金工具、起重机、离心机、压滤机、搅拌罐、装载机等生产设备，有电脑、打印机、网络设备，厂房和办公室能满足要求；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360" w:lineRule="auto"/>
              <w:rPr>
                <w:rFonts w:ascii="宋体" w:hAnsi="宋体"/>
                <w:b/>
                <w:sz w:val="21"/>
                <w:szCs w:val="21"/>
              </w:rPr>
            </w:pPr>
            <w:r>
              <w:rPr>
                <w:rFonts w:hint="eastAsia" w:ascii="宋体" w:hAnsi="宋体"/>
                <w:b/>
                <w:sz w:val="21"/>
                <w:szCs w:val="21"/>
              </w:rPr>
              <w:t>过程运行环境</w:t>
            </w:r>
          </w:p>
          <w:p>
            <w:pPr>
              <w:spacing w:line="360" w:lineRule="auto"/>
              <w:rPr>
                <w:rFonts w:ascii="宋体" w:hAnsi="宋体"/>
                <w:b/>
                <w:sz w:val="21"/>
                <w:szCs w:val="21"/>
              </w:rPr>
            </w:pPr>
            <w:r>
              <w:rPr>
                <w:rFonts w:hint="eastAsia" w:ascii="宋体" w:hAnsi="宋体"/>
                <w:b w:val="0"/>
                <w:bCs/>
                <w:sz w:val="21"/>
                <w:szCs w:val="21"/>
              </w:rPr>
              <w:t>产品生产对环境没有特殊要求，车间布局科学，空间较宽敞、光线较明亮，生产和办公环境干净、整洁。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2"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360" w:lineRule="auto"/>
              <w:rPr>
                <w:rFonts w:hint="eastAsia" w:ascii="宋体" w:hAnsi="宋体"/>
                <w:b/>
                <w:sz w:val="21"/>
                <w:szCs w:val="21"/>
              </w:rPr>
            </w:pPr>
            <w:r>
              <w:rPr>
                <w:rFonts w:hint="eastAsia" w:ascii="宋体" w:hAnsi="宋体"/>
                <w:b/>
                <w:sz w:val="21"/>
                <w:szCs w:val="21"/>
              </w:rPr>
              <w:t>监视和测量资源</w:t>
            </w:r>
          </w:p>
          <w:p>
            <w:pPr>
              <w:spacing w:line="360" w:lineRule="auto"/>
              <w:rPr>
                <w:rFonts w:ascii="宋体" w:hAnsi="宋体"/>
                <w:b/>
                <w:sz w:val="21"/>
                <w:szCs w:val="21"/>
              </w:rPr>
            </w:pPr>
            <w:r>
              <w:rPr>
                <w:rFonts w:hint="eastAsia" w:ascii="宋体" w:hAnsi="宋体"/>
                <w:b w:val="0"/>
                <w:bCs/>
                <w:sz w:val="21"/>
                <w:szCs w:val="21"/>
              </w:rPr>
              <w:t>提供《监视和测量装置计量器具管理台账》有外径千分尺、内径千分尺、万用表、超声探伤仪、游标卡尺等，计量器具均在有效期内</w:t>
            </w:r>
            <w:r>
              <w:rPr>
                <w:rFonts w:hint="eastAsia" w:ascii="宋体" w:hAnsi="宋体"/>
                <w:b w:val="0"/>
                <w:bCs/>
                <w:sz w:val="21"/>
                <w:szCs w:val="21"/>
                <w:lang w:eastAsia="zh-CN"/>
              </w:rPr>
              <w:t>，</w:t>
            </w:r>
            <w:r>
              <w:rPr>
                <w:rFonts w:hint="eastAsia" w:ascii="宋体" w:hAnsi="宋体"/>
                <w:b w:val="0"/>
                <w:bCs/>
                <w:sz w:val="21"/>
                <w:szCs w:val="21"/>
              </w:rPr>
              <w:t>确定检定周期一年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360" w:lineRule="auto"/>
              <w:rPr>
                <w:rFonts w:ascii="宋体" w:hAnsi="宋体"/>
                <w:b/>
                <w:sz w:val="21"/>
                <w:szCs w:val="21"/>
              </w:rPr>
            </w:pPr>
            <w:r>
              <w:rPr>
                <w:rFonts w:hint="eastAsia" w:ascii="宋体" w:hAnsi="宋体"/>
                <w:b/>
                <w:sz w:val="21"/>
                <w:szCs w:val="21"/>
              </w:rPr>
              <w:t>知识</w:t>
            </w:r>
          </w:p>
          <w:p>
            <w:pPr>
              <w:spacing w:line="360" w:lineRule="auto"/>
              <w:rPr>
                <w:rFonts w:ascii="宋体" w:hAnsi="宋体"/>
                <w:b/>
                <w:sz w:val="21"/>
                <w:szCs w:val="21"/>
              </w:rPr>
            </w:pPr>
            <w:r>
              <w:rPr>
                <w:rFonts w:hint="eastAsia" w:ascii="宋体" w:hAnsi="宋体"/>
                <w:b w:val="0"/>
                <w:bCs/>
                <w:sz w:val="21"/>
                <w:szCs w:val="21"/>
              </w:rPr>
              <w:t>企业运行过程所需的知识从内部来源获取的有：公司生产服务人员有以往多年工作经验，公司老员工负有对新员工进行的传帮带经验传授的职责。外部来源获取有：管理体系辅导老师传授的体系知识及所实施的培训；生产、检验、采购、销售、技术服务、泥浆处理人员的专业经历、外部供方的产品知识及相关标准、社会知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9"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环保设施：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职业健康安全设施：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21" w:hRule="atLeast"/>
          <w:jc w:val="center"/>
        </w:trPr>
        <w:tc>
          <w:tcPr>
            <w:tcW w:w="720" w:type="dxa"/>
            <w:vMerge w:val="restart"/>
            <w:textDirection w:val="tbRlV"/>
            <w:vAlign w:val="center"/>
          </w:tcPr>
          <w:p>
            <w:pPr>
              <w:spacing w:line="240" w:lineRule="exact"/>
              <w:ind w:left="113" w:right="113"/>
              <w:jc w:val="center"/>
              <w:rPr>
                <w:b/>
                <w:szCs w:val="21"/>
              </w:rPr>
            </w:pPr>
            <w:r>
              <w:rPr>
                <w:rFonts w:ascii="宋体" w:hAnsi="宋体"/>
                <w:b/>
                <w:szCs w:val="21"/>
              </w:rPr>
              <w:t>(</w:t>
            </w:r>
            <w:r>
              <w:rPr>
                <w:rFonts w:hint="eastAsia" w:ascii="宋体" w:hAnsi="宋体"/>
                <w:b/>
                <w:szCs w:val="21"/>
              </w:rPr>
              <w:t>三</w:t>
            </w:r>
            <w:r>
              <w:rPr>
                <w:rFonts w:ascii="宋体" w:hAnsi="宋体"/>
                <w:b/>
                <w:szCs w:val="21"/>
              </w:rPr>
              <w:t>)</w:t>
            </w:r>
            <w:r>
              <w:rPr>
                <w:rFonts w:hint="eastAsia" w:ascii="宋体" w:hAnsi="宋体"/>
                <w:b/>
                <w:szCs w:val="21"/>
              </w:rPr>
              <w:t>体系运行情况</w:t>
            </w:r>
          </w:p>
        </w:tc>
        <w:tc>
          <w:tcPr>
            <w:tcW w:w="9198" w:type="dxa"/>
          </w:tcPr>
          <w:p>
            <w:pPr>
              <w:spacing w:line="360" w:lineRule="auto"/>
              <w:rPr>
                <w:rFonts w:ascii="宋体" w:hAnsi="宋体"/>
                <w:b/>
                <w:sz w:val="21"/>
                <w:szCs w:val="21"/>
              </w:rPr>
            </w:pPr>
            <w:r>
              <w:rPr>
                <w:rFonts w:ascii="宋体" w:hAnsi="宋体"/>
                <w:b/>
                <w:sz w:val="21"/>
                <w:szCs w:val="21"/>
              </w:rPr>
              <w:t xml:space="preserve">1. </w:t>
            </w:r>
            <w:r>
              <w:rPr>
                <w:rFonts w:hint="eastAsia" w:ascii="宋体" w:hAnsi="宋体"/>
                <w:b/>
                <w:sz w:val="21"/>
                <w:szCs w:val="21"/>
              </w:rPr>
              <w:t>针对方针的管理职责评审</w:t>
            </w:r>
          </w:p>
          <w:p>
            <w:pPr>
              <w:spacing w:line="360" w:lineRule="auto"/>
              <w:ind w:left="1"/>
              <w:rPr>
                <w:rFonts w:hint="eastAsia" w:ascii="宋体" w:hAnsi="宋体"/>
                <w:b/>
                <w:sz w:val="21"/>
                <w:szCs w:val="21"/>
              </w:rPr>
            </w:pPr>
            <w:r>
              <w:rPr>
                <w:rFonts w:hint="eastAsia" w:ascii="宋体" w:hAnsi="宋体"/>
                <w:b/>
                <w:sz w:val="21"/>
                <w:szCs w:val="21"/>
              </w:rPr>
              <w:t>（包括针对组织宗旨，制定相关管理方针政策、确保方针为员工理解并在运营中实施，监视方针的实施并评审方针的适宜性）</w:t>
            </w:r>
          </w:p>
          <w:p>
            <w:pPr>
              <w:spacing w:line="360" w:lineRule="auto"/>
              <w:ind w:left="1"/>
              <w:rPr>
                <w:rFonts w:ascii="宋体" w:hAnsi="宋体"/>
                <w:b/>
                <w:sz w:val="21"/>
                <w:szCs w:val="21"/>
              </w:rPr>
            </w:pPr>
            <w:r>
              <w:rPr>
                <w:rFonts w:hint="eastAsia" w:ascii="宋体" w:hAnsi="宋体"/>
                <w:b w:val="0"/>
                <w:bCs/>
                <w:sz w:val="21"/>
                <w:szCs w:val="21"/>
              </w:rPr>
              <w:t>管理体系方针沟通、评审符合要求。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szCs w:val="21"/>
              </w:rPr>
            </w:pPr>
          </w:p>
        </w:tc>
        <w:tc>
          <w:tcPr>
            <w:tcW w:w="9198" w:type="dxa"/>
          </w:tcPr>
          <w:p>
            <w:pPr>
              <w:spacing w:line="360" w:lineRule="auto"/>
              <w:ind w:left="167" w:hanging="167" w:hangingChars="79"/>
              <w:rPr>
                <w:rFonts w:ascii="宋体" w:hAnsi="宋体"/>
                <w:b/>
                <w:sz w:val="21"/>
                <w:szCs w:val="21"/>
              </w:rPr>
            </w:pPr>
            <w:r>
              <w:rPr>
                <w:rFonts w:ascii="宋体" w:hAnsi="宋体"/>
                <w:b/>
                <w:sz w:val="21"/>
                <w:szCs w:val="21"/>
              </w:rPr>
              <w:t xml:space="preserve">2. </w:t>
            </w:r>
            <w:r>
              <w:rPr>
                <w:rFonts w:hint="eastAsia" w:ascii="宋体" w:hAnsi="宋体"/>
                <w:b/>
                <w:sz w:val="21"/>
                <w:szCs w:val="21"/>
              </w:rPr>
              <w:t>组织内部沟通的充分性与效果；（</w:t>
            </w:r>
            <w:r>
              <w:rPr>
                <w:rFonts w:ascii="宋体" w:hAnsi="宋体"/>
                <w:b/>
                <w:sz w:val="21"/>
                <w:szCs w:val="21"/>
              </w:rPr>
              <w:t>OHSMS</w:t>
            </w:r>
            <w:r>
              <w:rPr>
                <w:rFonts w:hint="eastAsia" w:ascii="宋体" w:hAnsi="宋体"/>
                <w:b/>
                <w:sz w:val="21"/>
                <w:szCs w:val="21"/>
              </w:rPr>
              <w:t>员工参与风险管理</w:t>
            </w:r>
            <w:r>
              <w:rPr>
                <w:rFonts w:ascii="宋体" w:hAnsi="宋体"/>
                <w:b/>
                <w:sz w:val="21"/>
                <w:szCs w:val="21"/>
              </w:rPr>
              <w:t>/</w:t>
            </w:r>
            <w:r>
              <w:rPr>
                <w:rFonts w:hint="eastAsia" w:ascii="宋体" w:hAnsi="宋体"/>
                <w:b/>
                <w:sz w:val="21"/>
                <w:szCs w:val="21"/>
              </w:rPr>
              <w:t>健康安全事务的关心和影响力；组织对外联络关注顾客的感受情况、信息交流包括通报相关方的情况等）</w:t>
            </w:r>
          </w:p>
          <w:p>
            <w:pPr>
              <w:spacing w:line="360" w:lineRule="auto"/>
              <w:rPr>
                <w:rFonts w:asciiTheme="minorEastAsia" w:hAnsiTheme="minorEastAsia" w:eastAsiaTheme="minorEastAsia"/>
                <w:b/>
                <w:color w:val="000000" w:themeColor="text1"/>
                <w:sz w:val="20"/>
                <w:szCs w:val="20"/>
              </w:rPr>
            </w:pPr>
            <w:r>
              <w:rPr>
                <w:rFonts w:hint="eastAsia" w:asciiTheme="minorEastAsia" w:hAnsiTheme="minorEastAsia" w:eastAsiaTheme="minorEastAsia"/>
                <w:b/>
                <w:color w:val="000000" w:themeColor="text1"/>
                <w:sz w:val="20"/>
                <w:szCs w:val="20"/>
              </w:rPr>
              <w:t>内部沟通的情况：内部沟通方式：</w:t>
            </w:r>
            <w:r>
              <w:rPr>
                <w:rFonts w:hint="eastAsia" w:asciiTheme="minorEastAsia" w:hAnsiTheme="minorEastAsia" w:eastAsiaTheme="minorEastAsia"/>
                <w:sz w:val="21"/>
                <w:szCs w:val="21"/>
                <w:u w:val="single"/>
              </w:rPr>
              <w:t>培训、会议、宣传栏；</w:t>
            </w:r>
          </w:p>
          <w:p>
            <w:pPr>
              <w:spacing w:line="360" w:lineRule="auto"/>
              <w:rPr>
                <w:rFonts w:asciiTheme="minorEastAsia" w:hAnsiTheme="minorEastAsia" w:eastAsiaTheme="minorEastAsia"/>
                <w:b/>
                <w:color w:val="000000" w:themeColor="text1"/>
                <w:sz w:val="20"/>
                <w:szCs w:val="20"/>
              </w:rPr>
            </w:pPr>
            <w:r>
              <w:rPr>
                <w:rFonts w:hint="eastAsia" w:asciiTheme="minorEastAsia" w:hAnsiTheme="minorEastAsia" w:eastAsiaTheme="minorEastAsia"/>
                <w:b/>
                <w:color w:val="000000" w:themeColor="text1"/>
                <w:sz w:val="20"/>
                <w:szCs w:val="20"/>
              </w:rPr>
              <w:t xml:space="preserve">                内部沟通的效果：</w:t>
            </w:r>
            <w:r>
              <w:rPr>
                <w:rFonts w:hint="eastAsia" w:asciiTheme="minorEastAsia" w:hAnsiTheme="minorEastAsia" w:eastAsiaTheme="minorEastAsia"/>
                <w:sz w:val="21"/>
                <w:szCs w:val="21"/>
                <w:u w:val="single"/>
              </w:rPr>
              <w:t>沟通畅通；</w:t>
            </w:r>
          </w:p>
          <w:p>
            <w:pPr>
              <w:spacing w:line="360" w:lineRule="auto"/>
              <w:rPr>
                <w:rFonts w:asciiTheme="minorEastAsia" w:hAnsiTheme="minorEastAsia" w:eastAsiaTheme="minorEastAsia"/>
                <w:b/>
                <w:color w:val="000000" w:themeColor="text1"/>
                <w:sz w:val="20"/>
                <w:szCs w:val="20"/>
              </w:rPr>
            </w:pPr>
            <w:r>
              <w:rPr>
                <w:rFonts w:hint="eastAsia" w:asciiTheme="minorEastAsia" w:hAnsiTheme="minorEastAsia" w:eastAsiaTheme="minorEastAsia"/>
                <w:b/>
                <w:color w:val="000000" w:themeColor="text1"/>
                <w:sz w:val="20"/>
                <w:szCs w:val="20"/>
              </w:rPr>
              <w:t>组织对外联络，关注顾客的感受情况（QMS）：</w:t>
            </w:r>
            <w:r>
              <w:rPr>
                <w:rFonts w:hint="eastAsia" w:asciiTheme="minorEastAsia" w:hAnsiTheme="minorEastAsia" w:eastAsiaTheme="minorEastAsia"/>
                <w:sz w:val="21"/>
                <w:szCs w:val="21"/>
                <w:u w:val="single"/>
              </w:rPr>
              <w:t>定期组织顾客满意度调查和走访。</w:t>
            </w:r>
          </w:p>
          <w:p>
            <w:pPr>
              <w:spacing w:line="360" w:lineRule="auto"/>
              <w:rPr>
                <w:rFonts w:asciiTheme="minorEastAsia" w:hAnsiTheme="minorEastAsia" w:eastAsiaTheme="minorEastAsia"/>
                <w:b/>
                <w:color w:val="000000" w:themeColor="text1"/>
                <w:sz w:val="20"/>
                <w:szCs w:val="20"/>
              </w:rPr>
            </w:pPr>
            <w:r>
              <w:rPr>
                <w:rFonts w:hint="eastAsia" w:asciiTheme="minorEastAsia" w:hAnsiTheme="minorEastAsia" w:eastAsiaTheme="minorEastAsia"/>
                <w:b/>
                <w:color w:val="000000" w:themeColor="text1"/>
                <w:sz w:val="20"/>
                <w:szCs w:val="20"/>
              </w:rPr>
              <w:t>外部信息的接收、成文并答复的情况（E、S填写）：</w:t>
            </w:r>
          </w:p>
          <w:p>
            <w:pPr>
              <w:spacing w:line="360" w:lineRule="auto"/>
              <w:rPr>
                <w:rFonts w:asciiTheme="minorEastAsia" w:hAnsiTheme="minorEastAsia" w:eastAsiaTheme="minorEastAsia"/>
                <w:szCs w:val="22"/>
                <w:u w:val="single"/>
              </w:rPr>
            </w:pPr>
            <w:r>
              <w:rPr>
                <w:rFonts w:hint="eastAsia" w:asciiTheme="minorEastAsia" w:hAnsiTheme="minorEastAsia" w:eastAsiaTheme="minorEastAsia"/>
                <w:b/>
                <w:color w:val="000000" w:themeColor="text1"/>
                <w:sz w:val="20"/>
                <w:szCs w:val="20"/>
              </w:rPr>
              <w:t>重要环境因素信息对外交流情况（EMS填写）：</w:t>
            </w:r>
            <w:r>
              <w:rPr>
                <w:rFonts w:hint="eastAsia" w:asciiTheme="minorEastAsia" w:hAnsiTheme="minorEastAsia" w:eastAsiaTheme="minorEastAsia"/>
                <w:szCs w:val="22"/>
                <w:u w:val="single"/>
              </w:rPr>
              <w:t xml:space="preserve"> 。</w:t>
            </w:r>
          </w:p>
          <w:p>
            <w:pPr>
              <w:tabs>
                <w:tab w:val="left" w:pos="9720"/>
                <w:tab w:val="left" w:pos="9900"/>
              </w:tabs>
              <w:spacing w:line="360" w:lineRule="auto"/>
              <w:rPr>
                <w:rFonts w:ascii="宋体" w:hAnsi="宋体"/>
                <w:b/>
                <w:sz w:val="21"/>
                <w:szCs w:val="21"/>
              </w:rPr>
            </w:pPr>
            <w:r>
              <w:rPr>
                <w:rFonts w:hint="eastAsia" w:asciiTheme="minorEastAsia" w:hAnsiTheme="minorEastAsia" w:eastAsiaTheme="minorEastAsia"/>
                <w:b/>
                <w:color w:val="000000" w:themeColor="text1"/>
                <w:sz w:val="20"/>
                <w:szCs w:val="20"/>
              </w:rPr>
              <w:t>OHSMS事务代表协商和交流的情况（OHSMS填写）：</w:t>
            </w:r>
            <w:r>
              <w:rPr>
                <w:rFonts w:hint="eastAsia" w:asciiTheme="minorEastAsia" w:hAnsiTheme="minorEastAsia" w:eastAsiaTheme="minorEastAsia"/>
                <w:szCs w:val="22"/>
                <w:u w:val="single"/>
              </w:rPr>
              <w:t xml:space="preserve"> 。</w:t>
            </w:r>
          </w:p>
          <w:p>
            <w:pPr>
              <w:spacing w:line="360" w:lineRule="auto"/>
              <w:rPr>
                <w:rFonts w:ascii="宋体" w:hAnsi="宋体"/>
                <w:b/>
                <w:sz w:val="21"/>
                <w:szCs w:val="21"/>
              </w:rPr>
            </w:pPr>
            <w:r>
              <w:rPr>
                <w:rFonts w:hint="eastAsia" w:ascii="宋体" w:hAnsi="宋体"/>
                <w:b/>
                <w:sz w:val="21"/>
                <w:szCs w:val="21"/>
              </w:rPr>
              <w:t>与相关方协商的情况（</w:t>
            </w:r>
            <w:r>
              <w:rPr>
                <w:rFonts w:ascii="宋体" w:hAnsi="宋体"/>
                <w:b/>
                <w:sz w:val="21"/>
                <w:szCs w:val="21"/>
              </w:rPr>
              <w:t>OHSMS</w:t>
            </w:r>
            <w:r>
              <w:rPr>
                <w:rFonts w:hint="eastAsia" w:ascii="宋体" w:hAnsi="宋体"/>
                <w:b/>
                <w:sz w:val="21"/>
                <w:szCs w:val="21"/>
              </w:rPr>
              <w:t>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spacing w:line="360" w:lineRule="auto"/>
              <w:rPr>
                <w:rFonts w:ascii="宋体" w:hAnsi="宋体"/>
                <w:b/>
                <w:sz w:val="21"/>
                <w:szCs w:val="21"/>
              </w:rPr>
            </w:pPr>
            <w:r>
              <w:rPr>
                <w:rFonts w:ascii="宋体" w:hAnsi="宋体"/>
                <w:b/>
                <w:sz w:val="21"/>
                <w:szCs w:val="21"/>
              </w:rPr>
              <w:t xml:space="preserve">3.  QMS </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组织对重要过程实施控制的结果</w:t>
            </w:r>
          </w:p>
          <w:p>
            <w:pPr>
              <w:spacing w:line="360" w:lineRule="auto"/>
              <w:ind w:left="206" w:leftChars="42" w:hanging="105" w:hangingChars="50"/>
              <w:rPr>
                <w:rFonts w:ascii="宋体" w:hAnsi="宋体"/>
                <w:b/>
                <w:sz w:val="21"/>
                <w:szCs w:val="21"/>
              </w:rPr>
            </w:pPr>
            <w:r>
              <w:rPr>
                <w:rFonts w:ascii="宋体" w:hAnsi="宋体"/>
                <w:b/>
                <w:sz w:val="21"/>
                <w:szCs w:val="21"/>
              </w:rPr>
              <w:t>(</w:t>
            </w:r>
            <w:r>
              <w:rPr>
                <w:rFonts w:hint="eastAsia" w:ascii="宋体" w:hAnsi="宋体"/>
                <w:b/>
                <w:sz w:val="21"/>
                <w:szCs w:val="21"/>
              </w:rPr>
              <w:t>包括对</w:t>
            </w:r>
            <w:r>
              <w:rPr>
                <w:rFonts w:ascii="宋体" w:hAnsi="宋体"/>
                <w:b/>
                <w:sz w:val="21"/>
                <w:szCs w:val="21"/>
              </w:rPr>
              <w:t>QMS</w:t>
            </w:r>
            <w:r>
              <w:rPr>
                <w:rFonts w:hint="eastAsia" w:ascii="宋体" w:hAnsi="宋体"/>
                <w:b/>
                <w:sz w:val="21"/>
                <w:szCs w:val="21"/>
              </w:rPr>
              <w:t>关键工序</w:t>
            </w:r>
            <w:r>
              <w:rPr>
                <w:rFonts w:ascii="宋体" w:hAnsi="宋体"/>
                <w:b/>
                <w:sz w:val="21"/>
                <w:szCs w:val="21"/>
              </w:rPr>
              <w:t>(</w:t>
            </w:r>
            <w:r>
              <w:rPr>
                <w:rFonts w:hint="eastAsia" w:ascii="宋体" w:hAnsi="宋体"/>
                <w:b/>
                <w:sz w:val="21"/>
                <w:szCs w:val="21"/>
              </w:rPr>
              <w:t>过程</w:t>
            </w:r>
            <w:r>
              <w:rPr>
                <w:rFonts w:ascii="宋体" w:hAnsi="宋体"/>
                <w:b/>
                <w:sz w:val="21"/>
                <w:szCs w:val="21"/>
              </w:rPr>
              <w:t>)</w:t>
            </w:r>
            <w:r>
              <w:rPr>
                <w:rFonts w:hint="eastAsia" w:ascii="宋体" w:hAnsi="宋体"/>
                <w:b/>
                <w:sz w:val="21"/>
                <w:szCs w:val="21"/>
              </w:rPr>
              <w:t>、特殊过程控制</w:t>
            </w:r>
            <w:r>
              <w:rPr>
                <w:rFonts w:ascii="宋体" w:hAnsi="宋体"/>
                <w:b/>
                <w:sz w:val="21"/>
                <w:szCs w:val="21"/>
              </w:rPr>
              <w:t>;</w:t>
            </w:r>
            <w:r>
              <w:rPr>
                <w:rFonts w:hint="eastAsia" w:ascii="宋体" w:hAnsi="宋体"/>
                <w:b/>
                <w:sz w:val="21"/>
                <w:szCs w:val="21"/>
              </w:rPr>
              <w:t>评价组织对过程实施控制情况</w:t>
            </w:r>
            <w:r>
              <w:rPr>
                <w:rFonts w:ascii="宋体" w:hAnsi="宋体"/>
                <w:b/>
                <w:sz w:val="21"/>
                <w:szCs w:val="21"/>
              </w:rPr>
              <w:t>/)</w:t>
            </w:r>
          </w:p>
          <w:p>
            <w:pPr>
              <w:spacing w:line="360" w:lineRule="auto"/>
              <w:ind w:firstLine="420" w:firstLineChars="200"/>
              <w:jc w:val="left"/>
              <w:rPr>
                <w:rFonts w:hint="eastAsia" w:ascii="宋体" w:hAnsi="宋体" w:eastAsia="宋体" w:cs="宋体"/>
                <w:b w:val="0"/>
                <w:bCs w:val="0"/>
                <w:i w:val="0"/>
                <w:iCs w:val="0"/>
                <w:sz w:val="21"/>
                <w:szCs w:val="21"/>
                <w:u w:val="none"/>
              </w:rPr>
            </w:pPr>
            <w:r>
              <w:rPr>
                <w:rFonts w:hint="eastAsia" w:ascii="宋体" w:hAnsi="宋体" w:eastAsia="宋体" w:cs="宋体"/>
                <w:b w:val="0"/>
                <w:bCs w:val="0"/>
                <w:i w:val="0"/>
                <w:iCs w:val="0"/>
                <w:sz w:val="21"/>
                <w:szCs w:val="21"/>
                <w:u w:val="none"/>
              </w:rPr>
              <w:t>公司主要从事</w:t>
            </w:r>
            <w:r>
              <w:rPr>
                <w:rFonts w:hint="eastAsia" w:ascii="宋体" w:hAnsi="宋体" w:eastAsia="宋体" w:cs="宋体"/>
                <w:b w:val="0"/>
                <w:bCs w:val="0"/>
                <w:i w:val="0"/>
                <w:iCs w:val="0"/>
                <w:color w:val="000000" w:themeColor="text1"/>
                <w:sz w:val="21"/>
                <w:szCs w:val="21"/>
                <w:u w:val="none"/>
              </w:rPr>
              <w:t>石油钻井机械部件的生产和修理技术服务；钻井油泥、泥浆的处理</w:t>
            </w:r>
            <w:r>
              <w:rPr>
                <w:rFonts w:hint="eastAsia" w:ascii="宋体" w:hAnsi="宋体" w:eastAsia="宋体" w:cs="宋体"/>
                <w:b w:val="0"/>
                <w:bCs w:val="0"/>
                <w:i w:val="0"/>
                <w:iCs w:val="0"/>
                <w:sz w:val="21"/>
                <w:szCs w:val="21"/>
                <w:u w:val="none"/>
              </w:rPr>
              <w:t>，</w:t>
            </w:r>
          </w:p>
          <w:p>
            <w:pPr>
              <w:spacing w:line="360" w:lineRule="auto"/>
              <w:ind w:firstLine="420" w:firstLineChars="200"/>
              <w:jc w:val="left"/>
              <w:rPr>
                <w:rFonts w:hint="eastAsia" w:ascii="宋体" w:hAnsi="宋体" w:eastAsia="宋体" w:cs="宋体"/>
                <w:b w:val="0"/>
                <w:bCs w:val="0"/>
                <w:i w:val="0"/>
                <w:iCs w:val="0"/>
                <w:sz w:val="21"/>
                <w:szCs w:val="21"/>
                <w:u w:val="none"/>
              </w:rPr>
            </w:pPr>
            <w:r>
              <w:rPr>
                <w:rFonts w:hint="eastAsia" w:ascii="宋体" w:hAnsi="宋体" w:eastAsia="宋体" w:cs="宋体"/>
                <w:b w:val="0"/>
                <w:bCs w:val="0"/>
                <w:i w:val="0"/>
                <w:iCs w:val="0"/>
                <w:sz w:val="21"/>
                <w:szCs w:val="21"/>
                <w:u w:val="none"/>
              </w:rPr>
              <w:t>生产工艺流程为：</w:t>
            </w:r>
          </w:p>
          <w:p>
            <w:pPr>
              <w:spacing w:line="360" w:lineRule="auto"/>
              <w:ind w:firstLine="420" w:firstLineChars="200"/>
              <w:rPr>
                <w:rFonts w:hint="eastAsia" w:ascii="宋体" w:hAnsi="宋体" w:eastAsia="宋体" w:cs="宋体"/>
                <w:b w:val="0"/>
                <w:bCs w:val="0"/>
                <w:i w:val="0"/>
                <w:iCs w:val="0"/>
                <w:sz w:val="21"/>
                <w:szCs w:val="21"/>
                <w:u w:val="none"/>
              </w:rPr>
            </w:pPr>
            <w:r>
              <w:rPr>
                <w:rFonts w:hint="eastAsia" w:ascii="宋体" w:hAnsi="宋体" w:eastAsia="宋体" w:cs="宋体"/>
                <w:b w:val="0"/>
                <w:bCs w:val="0"/>
                <w:i w:val="0"/>
                <w:iCs w:val="0"/>
                <w:sz w:val="21"/>
                <w:szCs w:val="21"/>
                <w:u w:val="none"/>
              </w:rPr>
              <w:t xml:space="preserve">生产流程图：采购→检验→下料→机加工→铆焊→组装→喷涂（外包）→检验→交付；  </w:t>
            </w:r>
          </w:p>
          <w:p>
            <w:pPr>
              <w:spacing w:line="360" w:lineRule="auto"/>
              <w:ind w:firstLine="420" w:firstLineChars="200"/>
              <w:rPr>
                <w:rFonts w:hint="eastAsia" w:ascii="宋体" w:hAnsi="宋体" w:eastAsia="宋体" w:cs="宋体"/>
                <w:b w:val="0"/>
                <w:bCs w:val="0"/>
                <w:i w:val="0"/>
                <w:iCs w:val="0"/>
                <w:sz w:val="21"/>
                <w:szCs w:val="21"/>
                <w:u w:val="none"/>
              </w:rPr>
            </w:pPr>
            <w:r>
              <w:rPr>
                <w:rFonts w:hint="eastAsia" w:ascii="宋体" w:hAnsi="宋体" w:eastAsia="宋体" w:cs="宋体"/>
                <w:b w:val="0"/>
                <w:bCs w:val="0"/>
                <w:i w:val="0"/>
                <w:iCs w:val="0"/>
                <w:sz w:val="21"/>
                <w:szCs w:val="21"/>
                <w:u w:val="none"/>
              </w:rPr>
              <w:t>修理技术服务流程图：合同签订→修理方案确定→修理技术服务→客户验收交付；  　　　　　　　　　　　</w:t>
            </w:r>
          </w:p>
          <w:p>
            <w:pPr>
              <w:spacing w:line="360" w:lineRule="auto"/>
              <w:ind w:firstLine="420" w:firstLineChars="200"/>
              <w:rPr>
                <w:rFonts w:hint="eastAsia" w:ascii="宋体" w:hAnsi="宋体" w:eastAsia="宋体" w:cs="宋体"/>
                <w:b w:val="0"/>
                <w:bCs w:val="0"/>
                <w:i w:val="0"/>
                <w:iCs w:val="0"/>
                <w:sz w:val="21"/>
                <w:szCs w:val="21"/>
                <w:u w:val="none"/>
              </w:rPr>
            </w:pPr>
            <w:r>
              <w:rPr>
                <w:rFonts w:hint="eastAsia" w:ascii="宋体" w:hAnsi="宋体" w:eastAsia="宋体" w:cs="宋体"/>
                <w:b w:val="0"/>
                <w:bCs w:val="0"/>
                <w:i w:val="0"/>
                <w:iCs w:val="0"/>
                <w:sz w:val="21"/>
                <w:szCs w:val="21"/>
                <w:u w:val="none"/>
              </w:rPr>
              <w:t>油泥、泥浆废弃物处理过程：收集→配药→搅拌→压滤→液固分别转运；</w:t>
            </w:r>
          </w:p>
          <w:p>
            <w:pPr>
              <w:spacing w:line="360" w:lineRule="auto"/>
              <w:ind w:firstLine="420" w:firstLineChars="200"/>
              <w:rPr>
                <w:rFonts w:hint="eastAsia" w:ascii="宋体" w:hAnsi="宋体" w:eastAsia="宋体" w:cs="宋体"/>
                <w:b w:val="0"/>
                <w:bCs w:val="0"/>
                <w:i w:val="0"/>
                <w:iCs w:val="0"/>
                <w:sz w:val="21"/>
                <w:szCs w:val="21"/>
                <w:u w:val="none"/>
              </w:rPr>
            </w:pPr>
            <w:r>
              <w:rPr>
                <w:rFonts w:hint="eastAsia" w:ascii="宋体" w:hAnsi="宋体" w:eastAsia="宋体" w:cs="宋体"/>
                <w:b w:val="0"/>
                <w:bCs w:val="0"/>
                <w:i w:val="0"/>
                <w:iCs w:val="0"/>
                <w:sz w:val="21"/>
                <w:szCs w:val="21"/>
                <w:u w:val="none"/>
              </w:rPr>
              <w:t>关键过程是焊接、组装、压滤过程，特殊过程是焊接过程，对焊接过程进行了过程确认。</w:t>
            </w:r>
          </w:p>
          <w:p>
            <w:pPr>
              <w:spacing w:line="360" w:lineRule="auto"/>
              <w:ind w:firstLine="420" w:firstLineChars="200"/>
              <w:rPr>
                <w:rFonts w:hint="eastAsia" w:ascii="宋体" w:hAnsi="宋体" w:eastAsia="宋体" w:cs="宋体"/>
                <w:b w:val="0"/>
                <w:bCs w:val="0"/>
                <w:i w:val="0"/>
                <w:iCs w:val="0"/>
                <w:sz w:val="21"/>
                <w:szCs w:val="21"/>
                <w:u w:val="none"/>
              </w:rPr>
            </w:pPr>
            <w:r>
              <w:rPr>
                <w:rFonts w:hint="eastAsia" w:ascii="宋体" w:hAnsi="宋体" w:eastAsia="宋体" w:cs="宋体"/>
                <w:b w:val="0"/>
                <w:bCs w:val="0"/>
                <w:i w:val="0"/>
                <w:iCs w:val="0"/>
                <w:sz w:val="21"/>
                <w:szCs w:val="21"/>
                <w:u w:val="none"/>
              </w:rPr>
              <w:t>公司依据客户订单，下达生产计划，接到定单后召开生产会议，进行生产、质量及管理工作协调。</w:t>
            </w:r>
          </w:p>
          <w:p>
            <w:pPr>
              <w:spacing w:line="360" w:lineRule="auto"/>
              <w:ind w:firstLine="420" w:firstLineChars="200"/>
              <w:rPr>
                <w:rFonts w:hint="eastAsia" w:ascii="宋体" w:hAnsi="宋体" w:eastAsia="宋体" w:cs="宋体"/>
                <w:b w:val="0"/>
                <w:bCs w:val="0"/>
                <w:i w:val="0"/>
                <w:iCs w:val="0"/>
                <w:sz w:val="21"/>
                <w:szCs w:val="21"/>
                <w:u w:val="none"/>
              </w:rPr>
            </w:pPr>
            <w:r>
              <w:rPr>
                <w:rFonts w:hint="eastAsia" w:ascii="宋体" w:hAnsi="宋体" w:eastAsia="宋体" w:cs="宋体"/>
                <w:b w:val="0"/>
                <w:bCs w:val="0"/>
                <w:i w:val="0"/>
                <w:iCs w:val="0"/>
                <w:sz w:val="21"/>
                <w:szCs w:val="21"/>
                <w:u w:val="none"/>
              </w:rPr>
              <w:t>通过原材料检验、过程检验、成品检验等过程对产品质量、生产进度等进行监控。</w:t>
            </w:r>
          </w:p>
          <w:p>
            <w:pPr>
              <w:spacing w:line="360" w:lineRule="auto"/>
              <w:ind w:firstLine="420" w:firstLineChars="200"/>
              <w:rPr>
                <w:rFonts w:hint="eastAsia" w:ascii="宋体" w:hAnsi="宋体" w:eastAsia="宋体" w:cs="宋体"/>
                <w:b w:val="0"/>
                <w:bCs w:val="0"/>
                <w:i w:val="0"/>
                <w:iCs w:val="0"/>
                <w:sz w:val="21"/>
                <w:szCs w:val="21"/>
                <w:u w:val="none"/>
              </w:rPr>
            </w:pPr>
            <w:r>
              <w:rPr>
                <w:rFonts w:hint="eastAsia" w:ascii="宋体" w:hAnsi="宋体" w:eastAsia="宋体" w:cs="宋体"/>
                <w:b w:val="0"/>
                <w:bCs w:val="0"/>
                <w:i w:val="0"/>
                <w:iCs w:val="0"/>
                <w:sz w:val="21"/>
                <w:szCs w:val="21"/>
                <w:u w:val="none"/>
              </w:rPr>
              <w:t>为生产过程提供了适宜的设备及环境，配备了胜任的人员。</w:t>
            </w:r>
          </w:p>
          <w:p>
            <w:pPr>
              <w:spacing w:line="360" w:lineRule="auto"/>
              <w:ind w:firstLine="420" w:firstLineChars="200"/>
              <w:rPr>
                <w:rFonts w:ascii="宋体" w:hAnsi="宋体"/>
                <w:b/>
                <w:sz w:val="21"/>
                <w:szCs w:val="21"/>
              </w:rPr>
            </w:pPr>
            <w:r>
              <w:rPr>
                <w:rFonts w:hint="eastAsia" w:ascii="宋体" w:hAnsi="宋体" w:eastAsia="宋体" w:cs="宋体"/>
                <w:b w:val="0"/>
                <w:bCs w:val="0"/>
                <w:i w:val="0"/>
                <w:iCs w:val="0"/>
                <w:sz w:val="21"/>
                <w:szCs w:val="21"/>
                <w:u w:val="none"/>
              </w:rPr>
              <w:t>公司按照制定的产品检验规程、作业指导书、原料进货检验规程等文件对产品的生产和检验过程实施了过程控制。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spacing w:line="300" w:lineRule="exact"/>
              <w:jc w:val="left"/>
              <w:rPr>
                <w:rFonts w:ascii="宋体" w:hAnsi="宋体"/>
                <w:b/>
                <w:sz w:val="21"/>
                <w:szCs w:val="21"/>
              </w:rPr>
            </w:pPr>
            <w:r>
              <w:rPr>
                <w:rFonts w:ascii="宋体" w:hAnsi="宋体"/>
                <w:b/>
                <w:sz w:val="21"/>
                <w:szCs w:val="21"/>
              </w:rPr>
              <w:t>4.QMS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服务的标准、协议</w:t>
            </w:r>
            <w:r>
              <w:rPr>
                <w:rFonts w:ascii="宋体" w:hAnsi="宋体"/>
                <w:b/>
                <w:sz w:val="21"/>
                <w:szCs w:val="21"/>
              </w:rPr>
              <w:t>/</w:t>
            </w:r>
            <w:r>
              <w:rPr>
                <w:rFonts w:hint="eastAsia" w:ascii="宋体" w:hAnsi="宋体"/>
                <w:b/>
                <w:sz w:val="21"/>
                <w:szCs w:val="21"/>
              </w:rPr>
              <w:t>规范的有效性以及产品</w:t>
            </w:r>
            <w:r>
              <w:rPr>
                <w:rFonts w:ascii="宋体" w:hAnsi="宋体"/>
                <w:b/>
                <w:sz w:val="21"/>
                <w:szCs w:val="21"/>
              </w:rPr>
              <w:t>/</w:t>
            </w:r>
            <w:r>
              <w:rPr>
                <w:rFonts w:hint="eastAsia" w:ascii="宋体" w:hAnsi="宋体"/>
                <w:b/>
                <w:sz w:val="21"/>
                <w:szCs w:val="21"/>
              </w:rPr>
              <w:t>服务质量符合要求，向顾客稳定提供合格产品的情况；</w:t>
            </w:r>
          </w:p>
          <w:p>
            <w:pPr>
              <w:spacing w:line="360" w:lineRule="auto"/>
              <w:rPr>
                <w:rFonts w:hint="eastAsia" w:ascii="宋体" w:hAnsi="宋体"/>
                <w:b/>
                <w:sz w:val="21"/>
                <w:szCs w:val="21"/>
              </w:rPr>
            </w:pPr>
            <w:r>
              <w:rPr>
                <w:rFonts w:hint="eastAsia" w:ascii="宋体" w:hAnsi="宋体"/>
                <w:b w:val="0"/>
                <w:bCs/>
                <w:sz w:val="21"/>
                <w:szCs w:val="21"/>
              </w:rPr>
              <w:t>企业参考国家行业主要有：GB/T17744-2015石油天然气工业钻井和修井设备、GB/T19190-2013石油天然气工业钻井和采油提升设备、SY/T5053.2-2007钻井井口控制设备及分流设备控制系统规范、SY/T5532-2016石油钻机绞车、JB/T4238-2005调速型液力偶合器、Q/SY XN0276-2015钻井废弃物无害化处理技术规范等。</w:t>
            </w:r>
          </w:p>
          <w:p>
            <w:pPr>
              <w:spacing w:line="360" w:lineRule="auto"/>
              <w:rPr>
                <w:rFonts w:ascii="宋体" w:hAnsi="宋体"/>
                <w:b/>
                <w:sz w:val="21"/>
                <w:szCs w:val="21"/>
              </w:rPr>
            </w:pPr>
            <w:r>
              <w:rPr>
                <w:rFonts w:hint="eastAsia" w:ascii="宋体" w:hAnsi="宋体" w:cs="Times New Roman"/>
                <w:b w:val="0"/>
                <w:bCs/>
                <w:sz w:val="21"/>
                <w:szCs w:val="21"/>
              </w:rPr>
              <w:t>提供了产品出厂检验报告，产品检验合格，满足顾客要求。</w:t>
            </w:r>
          </w:p>
          <w:p>
            <w:pPr>
              <w:spacing w:line="240" w:lineRule="exact"/>
              <w:rPr>
                <w:rFonts w:ascii="宋体" w:hAnsi="宋体"/>
                <w:b/>
                <w:sz w:val="21"/>
                <w:szCs w:val="21"/>
              </w:rPr>
            </w:pPr>
          </w:p>
          <w:p>
            <w:pPr>
              <w:spacing w:line="240" w:lineRule="exact"/>
              <w:rPr>
                <w:rFonts w:ascii="宋体" w:hAnsi="宋体"/>
                <w:b/>
                <w:sz w:val="21"/>
                <w:szCs w:val="21"/>
              </w:rPr>
            </w:pPr>
            <w:r>
              <w:rPr>
                <w:rFonts w:ascii="宋体" w:hAnsi="宋体"/>
                <w:b/>
                <w:sz w:val="21"/>
                <w:szCs w:val="21"/>
              </w:rPr>
              <w:t>(</w:t>
            </w:r>
            <w:r>
              <w:rPr>
                <w:rFonts w:hint="eastAsia" w:ascii="宋体" w:hAnsi="宋体"/>
                <w:b/>
                <w:sz w:val="21"/>
                <w:szCs w:val="21"/>
              </w:rPr>
              <w:t>应说明相关证据</w:t>
            </w:r>
            <w:r>
              <w:rPr>
                <w:rFonts w:ascii="宋体" w:hAnsi="宋体"/>
                <w:b/>
                <w:sz w:val="21"/>
                <w:szCs w:val="21"/>
              </w:rPr>
              <w:t>)</w:t>
            </w:r>
            <w:r>
              <w:rPr>
                <w:rFonts w:hint="eastAsia" w:ascii="宋体" w:hAnsi="宋体"/>
                <w:b/>
                <w:sz w:val="21"/>
                <w:szCs w:val="21"/>
              </w:rPr>
              <w:t>：</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spacing w:line="360" w:lineRule="auto"/>
              <w:rPr>
                <w:rFonts w:ascii="宋体" w:hAnsi="宋体"/>
                <w:b/>
                <w:sz w:val="21"/>
                <w:szCs w:val="21"/>
              </w:rPr>
            </w:pPr>
            <w:r>
              <w:rPr>
                <w:rFonts w:ascii="宋体" w:hAnsi="宋体"/>
                <w:b/>
                <w:sz w:val="21"/>
                <w:szCs w:val="21"/>
              </w:rPr>
              <w:t>5 .QMS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地方技术监督部门监测（检测、委托检测、定期监测、型式试验等）、抽查结果</w:t>
            </w:r>
          </w:p>
          <w:p>
            <w:pPr>
              <w:spacing w:line="360" w:lineRule="auto"/>
              <w:rPr>
                <w:rFonts w:asciiTheme="minorEastAsia" w:hAnsiTheme="minorEastAsia" w:eastAsiaTheme="minorEastAsia"/>
                <w:szCs w:val="22"/>
                <w:u w:val="single"/>
              </w:rPr>
            </w:pPr>
            <w:r>
              <w:rPr>
                <w:rFonts w:hint="eastAsia" w:asciiTheme="minorEastAsia" w:hAnsiTheme="minorEastAsia" w:eastAsiaTheme="minorEastAsia"/>
                <w:szCs w:val="22"/>
                <w:u w:val="single"/>
              </w:rPr>
              <w:t>无</w:t>
            </w:r>
          </w:p>
          <w:p>
            <w:pPr>
              <w:spacing w:line="240" w:lineRule="exact"/>
              <w:ind w:firstLine="211" w:firstLineChars="100"/>
              <w:rPr>
                <w:rFonts w:ascii="宋体" w:hAnsi="宋体"/>
                <w:b/>
                <w:sz w:val="21"/>
                <w:szCs w:val="21"/>
              </w:rPr>
            </w:pPr>
          </w:p>
          <w:p>
            <w:pPr>
              <w:spacing w:line="300" w:lineRule="exact"/>
              <w:rPr>
                <w:rFonts w:ascii="宋体" w:hAnsi="宋体"/>
                <w:b/>
                <w:sz w:val="21"/>
                <w:szCs w:val="21"/>
              </w:rPr>
            </w:pPr>
            <w:r>
              <w:rPr>
                <w:rFonts w:hint="eastAsia" w:ascii="宋体" w:hAnsi="宋体"/>
                <w:b/>
                <w:sz w:val="21"/>
                <w:szCs w:val="21"/>
              </w:rPr>
              <w:t>（附相关证据）：</w:t>
            </w:r>
          </w:p>
          <w:p>
            <w:pPr>
              <w:spacing w:line="300" w:lineRule="exact"/>
              <w:jc w:val="lef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spacing w:line="360" w:lineRule="auto"/>
              <w:rPr>
                <w:rFonts w:ascii="宋体" w:hAnsi="宋体"/>
                <w:b/>
                <w:sz w:val="21"/>
                <w:szCs w:val="21"/>
              </w:rPr>
            </w:pPr>
            <w:r>
              <w:rPr>
                <w:rFonts w:ascii="宋体" w:hAnsi="宋体"/>
                <w:b/>
                <w:sz w:val="21"/>
                <w:szCs w:val="21"/>
              </w:rPr>
              <w:t xml:space="preserve">6. </w:t>
            </w:r>
            <w:r>
              <w:rPr>
                <w:rFonts w:hint="eastAsia" w:ascii="宋体" w:hAnsi="宋体"/>
                <w:b/>
                <w:sz w:val="21"/>
                <w:szCs w:val="21"/>
              </w:rPr>
              <w:t>不合格品</w:t>
            </w:r>
            <w:r>
              <w:rPr>
                <w:rFonts w:ascii="宋体" w:hAnsi="宋体"/>
                <w:b/>
                <w:sz w:val="21"/>
                <w:szCs w:val="21"/>
              </w:rPr>
              <w:t>/</w:t>
            </w:r>
            <w:r>
              <w:rPr>
                <w:rFonts w:hint="eastAsia" w:ascii="宋体" w:hAnsi="宋体"/>
                <w:b/>
                <w:sz w:val="21"/>
                <w:szCs w:val="21"/>
              </w:rPr>
              <w:t>项的识别、控制</w:t>
            </w:r>
            <w:r>
              <w:rPr>
                <w:rFonts w:ascii="宋体" w:hAnsi="宋体"/>
                <w:b/>
                <w:sz w:val="21"/>
                <w:szCs w:val="21"/>
              </w:rPr>
              <w:t>;</w:t>
            </w:r>
          </w:p>
          <w:p>
            <w:pPr>
              <w:spacing w:line="360" w:lineRule="auto"/>
              <w:rPr>
                <w:rFonts w:ascii="宋体" w:hAnsi="宋体"/>
                <w:b/>
                <w:sz w:val="21"/>
                <w:szCs w:val="21"/>
              </w:rPr>
            </w:pPr>
            <w:r>
              <w:rPr>
                <w:rFonts w:hint="eastAsia" w:ascii="宋体" w:hAnsi="宋体"/>
                <w:b w:val="0"/>
                <w:bCs/>
                <w:sz w:val="21"/>
                <w:szCs w:val="21"/>
              </w:rPr>
              <w:t>提供的《不合格输出控制程序》中规定了对不合格品的标识、记录、隔离、记录和处置的控制要求。采购检验中发现的不合格，要求做好相应的标识，并及时通知采购人员作退/换货处理，生产过程和产品检验过程中发现的少量不合格品作返工、返修和报废处理，批量的不合格品要求填写“不合格品处置单”，记录不合格品名称、规格/型号、数量、不合格事实、评审处置措施，验证结果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7. EMS</w:t>
            </w:r>
            <w:r>
              <w:rPr>
                <w:rFonts w:hint="eastAsia" w:ascii="宋体" w:hAnsi="宋体"/>
                <w:b/>
                <w:sz w:val="21"/>
                <w:szCs w:val="21"/>
              </w:rPr>
              <w:t>组织对重要环境因素实施控制的结果</w:t>
            </w:r>
          </w:p>
          <w:p>
            <w:pPr>
              <w:spacing w:line="240" w:lineRule="exact"/>
              <w:rPr>
                <w:rFonts w:ascii="宋体" w:hAnsi="宋体"/>
                <w:b/>
                <w:sz w:val="21"/>
                <w:szCs w:val="21"/>
              </w:rPr>
            </w:pPr>
            <w:r>
              <w:rPr>
                <w:rFonts w:hint="eastAsia" w:ascii="宋体" w:hAnsi="宋体"/>
                <w:b/>
                <w:sz w:val="21"/>
                <w:szCs w:val="21"/>
              </w:rPr>
              <w:t>（</w:t>
            </w:r>
            <w:r>
              <w:rPr>
                <w:rFonts w:ascii="宋体" w:hAnsi="宋体"/>
                <w:b/>
                <w:sz w:val="21"/>
                <w:szCs w:val="21"/>
              </w:rPr>
              <w:t>EMS</w:t>
            </w:r>
            <w:r>
              <w:rPr>
                <w:rFonts w:hint="eastAsia" w:ascii="宋体" w:hAnsi="宋体"/>
                <w:b/>
                <w:sz w:val="21"/>
                <w:szCs w:val="21"/>
              </w:rPr>
              <w:t>对重要环境因素控制，重大环境因素对周边环境产生的影响及控制</w:t>
            </w:r>
            <w:r>
              <w:rPr>
                <w:rFonts w:ascii="宋体" w:hAnsi="宋体"/>
                <w:b/>
                <w:sz w:val="21"/>
                <w:szCs w:val="21"/>
              </w:rPr>
              <w:t>;</w:t>
            </w:r>
            <w:r>
              <w:rPr>
                <w:rFonts w:hint="eastAsia" w:ascii="宋体" w:hAnsi="宋体"/>
                <w:b/>
                <w:sz w:val="21"/>
                <w:szCs w:val="21"/>
              </w:rPr>
              <w:t>对相关方施加影响）</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8. OHSMS</w:t>
            </w:r>
            <w:r>
              <w:rPr>
                <w:rFonts w:hint="eastAsia" w:ascii="宋体" w:hAnsi="宋体"/>
                <w:b/>
                <w:sz w:val="21"/>
                <w:szCs w:val="21"/>
              </w:rPr>
              <w:t>组织对不可接受风险实施控制的结果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3"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ind w:left="211" w:hanging="211" w:hangingChars="100"/>
              <w:rPr>
                <w:rFonts w:ascii="宋体" w:hAnsi="宋体"/>
                <w:b/>
                <w:sz w:val="21"/>
                <w:szCs w:val="21"/>
              </w:rPr>
            </w:pPr>
            <w:r>
              <w:rPr>
                <w:rFonts w:ascii="宋体" w:hAnsi="宋体"/>
                <w:b/>
                <w:sz w:val="21"/>
                <w:szCs w:val="21"/>
              </w:rPr>
              <w:t xml:space="preserve">9. </w:t>
            </w:r>
            <w:r>
              <w:rPr>
                <w:rFonts w:hint="eastAsia" w:ascii="宋体" w:hAnsi="宋体"/>
                <w:b/>
                <w:sz w:val="21"/>
                <w:szCs w:val="21"/>
              </w:rPr>
              <w:t>应急准备与相应活动的演练及对预案可行性的评价</w:t>
            </w:r>
            <w:r>
              <w:rPr>
                <w:rFonts w:ascii="宋体" w:hAnsi="宋体"/>
                <w:b/>
                <w:sz w:val="21"/>
                <w:szCs w:val="21"/>
              </w:rPr>
              <w:t>(</w:t>
            </w:r>
            <w:r>
              <w:rPr>
                <w:rFonts w:hint="eastAsia" w:ascii="宋体" w:hAnsi="宋体"/>
                <w:b/>
                <w:sz w:val="21"/>
                <w:szCs w:val="21"/>
              </w:rPr>
              <w:t>当有规定时</w:t>
            </w:r>
            <w:r>
              <w:rPr>
                <w:rFonts w:ascii="宋体" w:hAnsi="宋体"/>
                <w:b/>
                <w:sz w:val="21"/>
                <w:szCs w:val="21"/>
              </w:rPr>
              <w:t xml:space="preserve">) </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1" w:hRule="atLeast"/>
          <w:jc w:val="center"/>
        </w:trPr>
        <w:tc>
          <w:tcPr>
            <w:tcW w:w="720" w:type="dxa"/>
            <w:vMerge w:val="continue"/>
            <w:vAlign w:val="center"/>
          </w:tcPr>
          <w:p>
            <w:pPr>
              <w:spacing w:line="240" w:lineRule="exact"/>
              <w:jc w:val="center"/>
              <w:rPr>
                <w:b/>
                <w:szCs w:val="21"/>
              </w:rPr>
            </w:pPr>
          </w:p>
        </w:tc>
        <w:tc>
          <w:tcPr>
            <w:tcW w:w="9198" w:type="dxa"/>
          </w:tcPr>
          <w:p>
            <w:pPr>
              <w:spacing w:line="360" w:lineRule="auto"/>
              <w:rPr>
                <w:rFonts w:ascii="宋体" w:hAnsi="宋体"/>
                <w:b/>
                <w:sz w:val="21"/>
                <w:szCs w:val="21"/>
              </w:rPr>
            </w:pPr>
            <w:r>
              <w:rPr>
                <w:rFonts w:ascii="宋体" w:hAnsi="宋体"/>
                <w:b/>
                <w:sz w:val="21"/>
                <w:szCs w:val="21"/>
              </w:rPr>
              <w:t xml:space="preserve">10. </w:t>
            </w:r>
            <w:r>
              <w:rPr>
                <w:rFonts w:hint="eastAsia" w:ascii="宋体" w:hAnsi="宋体"/>
                <w:b/>
                <w:sz w:val="21"/>
                <w:szCs w:val="21"/>
              </w:rPr>
              <w:t>对特种设备的维护，检定</w:t>
            </w:r>
            <w:r>
              <w:rPr>
                <w:rFonts w:ascii="宋体" w:hAnsi="宋体"/>
                <w:b/>
                <w:sz w:val="21"/>
                <w:szCs w:val="21"/>
              </w:rPr>
              <w:t>;</w:t>
            </w:r>
            <w:r>
              <w:rPr>
                <w:rFonts w:hint="eastAsia" w:ascii="宋体" w:hAnsi="宋体"/>
                <w:b/>
                <w:sz w:val="21"/>
                <w:szCs w:val="21"/>
              </w:rPr>
              <w:t>（</w:t>
            </w:r>
            <w:r>
              <w:rPr>
                <w:rFonts w:ascii="宋体" w:hAnsi="宋体"/>
                <w:b/>
                <w:sz w:val="21"/>
                <w:szCs w:val="21"/>
              </w:rPr>
              <w:t>适用时</w:t>
            </w:r>
            <w:r>
              <w:rPr>
                <w:rFonts w:hint="eastAsia" w:ascii="宋体" w:hAnsi="宋体"/>
                <w:b/>
                <w:sz w:val="21"/>
                <w:szCs w:val="21"/>
              </w:rPr>
              <w:t>）</w:t>
            </w:r>
          </w:p>
          <w:p>
            <w:pPr>
              <w:spacing w:line="360" w:lineRule="auto"/>
              <w:ind w:left="240" w:leftChars="100" w:firstLine="105" w:firstLineChars="50"/>
              <w:jc w:val="left"/>
              <w:rPr>
                <w:rFonts w:ascii="宋体" w:hAnsi="宋体"/>
                <w:b/>
                <w:sz w:val="21"/>
                <w:szCs w:val="21"/>
              </w:rPr>
            </w:pPr>
            <w:r>
              <w:rPr>
                <w:rFonts w:hint="eastAsia" w:ascii="宋体" w:hAnsi="宋体"/>
                <w:b w:val="0"/>
                <w:bCs/>
                <w:sz w:val="21"/>
                <w:szCs w:val="21"/>
              </w:rPr>
              <w:t>起重机检验合格。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4" w:hRule="atLeast"/>
          <w:jc w:val="center"/>
        </w:trPr>
        <w:tc>
          <w:tcPr>
            <w:tcW w:w="720" w:type="dxa"/>
            <w:vMerge w:val="continue"/>
            <w:vAlign w:val="center"/>
          </w:tcPr>
          <w:p>
            <w:pPr>
              <w:spacing w:line="240" w:lineRule="exact"/>
              <w:jc w:val="center"/>
              <w:rPr>
                <w:b/>
                <w:szCs w:val="21"/>
              </w:rPr>
            </w:pPr>
          </w:p>
        </w:tc>
        <w:tc>
          <w:tcPr>
            <w:tcW w:w="9198" w:type="dxa"/>
          </w:tcPr>
          <w:p>
            <w:pPr>
              <w:spacing w:line="360" w:lineRule="auto"/>
              <w:rPr>
                <w:rFonts w:ascii="宋体" w:hAnsi="宋体"/>
                <w:b/>
                <w:sz w:val="21"/>
                <w:szCs w:val="21"/>
              </w:rPr>
            </w:pPr>
            <w:r>
              <w:rPr>
                <w:rFonts w:ascii="宋体" w:hAnsi="宋体"/>
                <w:b/>
                <w:sz w:val="21"/>
                <w:szCs w:val="21"/>
              </w:rPr>
              <w:t>11 .</w:t>
            </w:r>
            <w:r>
              <w:rPr>
                <w:rFonts w:hint="eastAsia" w:ascii="宋体" w:hAnsi="宋体"/>
                <w:b/>
                <w:sz w:val="21"/>
                <w:szCs w:val="21"/>
              </w:rPr>
              <w:t>对危险化学品销售、使用、储存、运输处置，规定的执行力度</w:t>
            </w:r>
            <w:r>
              <w:rPr>
                <w:rFonts w:ascii="宋体" w:hAnsi="宋体"/>
                <w:b/>
                <w:sz w:val="21"/>
                <w:szCs w:val="21"/>
              </w:rPr>
              <w:t>(</w:t>
            </w:r>
            <w:r>
              <w:rPr>
                <w:rFonts w:hint="eastAsia" w:ascii="宋体" w:hAnsi="宋体"/>
                <w:b/>
                <w:sz w:val="21"/>
                <w:szCs w:val="21"/>
              </w:rPr>
              <w:t>必要时</w:t>
            </w:r>
            <w:r>
              <w:rPr>
                <w:rFonts w:ascii="宋体" w:hAnsi="宋体"/>
                <w:b/>
                <w:sz w:val="21"/>
                <w:szCs w:val="21"/>
              </w:rPr>
              <w:t>);</w:t>
            </w:r>
          </w:p>
          <w:p>
            <w:pPr>
              <w:spacing w:line="360" w:lineRule="auto"/>
              <w:rPr>
                <w:rFonts w:ascii="宋体" w:hAnsi="宋体"/>
                <w:b/>
                <w:sz w:val="21"/>
                <w:szCs w:val="21"/>
              </w:rPr>
            </w:pPr>
            <w:r>
              <w:rPr>
                <w:rFonts w:hint="eastAsia" w:asciiTheme="minorEastAsia" w:hAnsiTheme="minorEastAsia" w:eastAsiaTheme="minorEastAsia"/>
                <w:sz w:val="21"/>
                <w:szCs w:val="21"/>
                <w:u w:val="singl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6" w:hRule="atLeast"/>
          <w:jc w:val="center"/>
        </w:trPr>
        <w:tc>
          <w:tcPr>
            <w:tcW w:w="720" w:type="dxa"/>
            <w:vMerge w:val="restart"/>
            <w:textDirection w:val="tbRlV"/>
            <w:vAlign w:val="center"/>
          </w:tcPr>
          <w:p>
            <w:pPr>
              <w:spacing w:line="240" w:lineRule="exact"/>
              <w:ind w:left="113" w:right="113"/>
              <w:jc w:val="center"/>
              <w:rPr>
                <w:rFonts w:ascii="宋体" w:hAnsi="宋体"/>
                <w:b/>
                <w:szCs w:val="21"/>
              </w:rPr>
            </w:pPr>
            <w:r>
              <w:rPr>
                <w:rFonts w:ascii="宋体" w:hAnsi="宋体"/>
                <w:b/>
                <w:szCs w:val="21"/>
              </w:rPr>
              <w:t>(</w:t>
            </w:r>
            <w:r>
              <w:rPr>
                <w:rFonts w:hint="eastAsia" w:ascii="宋体" w:hAnsi="宋体"/>
                <w:b/>
                <w:szCs w:val="21"/>
              </w:rPr>
              <w:t>四</w:t>
            </w:r>
            <w:r>
              <w:rPr>
                <w:rFonts w:ascii="宋体" w:hAnsi="宋体"/>
                <w:b/>
                <w:szCs w:val="21"/>
              </w:rPr>
              <w:t>)</w:t>
            </w:r>
            <w:r>
              <w:rPr>
                <w:rFonts w:hint="eastAsia" w:ascii="宋体" w:hAnsi="宋体"/>
                <w:b/>
                <w:szCs w:val="21"/>
              </w:rPr>
              <w:t>监视测量方面</w:t>
            </w:r>
          </w:p>
        </w:tc>
        <w:tc>
          <w:tcPr>
            <w:tcW w:w="9198" w:type="dxa"/>
          </w:tcPr>
          <w:p>
            <w:pPr>
              <w:spacing w:line="360" w:lineRule="auto"/>
              <w:ind w:left="105" w:hanging="105" w:hangingChars="50"/>
              <w:rPr>
                <w:rFonts w:ascii="宋体" w:hAnsi="宋体"/>
                <w:b/>
                <w:sz w:val="21"/>
                <w:szCs w:val="21"/>
              </w:rPr>
            </w:pPr>
            <w:r>
              <w:rPr>
                <w:rFonts w:ascii="宋体" w:hAnsi="宋体"/>
                <w:b/>
                <w:sz w:val="21"/>
                <w:szCs w:val="21"/>
              </w:rPr>
              <w:t>1</w:t>
            </w:r>
            <w:r>
              <w:rPr>
                <w:rFonts w:hint="eastAsia" w:ascii="宋体" w:hAnsi="宋体"/>
                <w:b/>
                <w:sz w:val="21"/>
                <w:szCs w:val="21"/>
                <w:lang w:eastAsia="zh-CN"/>
              </w:rPr>
              <w:t>.</w:t>
            </w:r>
            <w:r>
              <w:rPr>
                <w:rFonts w:hint="eastAsia" w:ascii="宋体" w:hAnsi="宋体"/>
                <w:b/>
                <w:sz w:val="21"/>
                <w:szCs w:val="21"/>
              </w:rPr>
              <w:t>对质量</w:t>
            </w:r>
            <w:r>
              <w:rPr>
                <w:rFonts w:ascii="宋体" w:hAnsi="宋体"/>
                <w:b/>
                <w:sz w:val="21"/>
                <w:szCs w:val="21"/>
              </w:rPr>
              <w:t>/</w:t>
            </w:r>
            <w:r>
              <w:rPr>
                <w:rFonts w:hint="eastAsia" w:ascii="宋体" w:hAnsi="宋体"/>
                <w:b/>
                <w:sz w:val="21"/>
                <w:szCs w:val="21"/>
              </w:rPr>
              <w:t>环境</w:t>
            </w:r>
            <w:r>
              <w:rPr>
                <w:rFonts w:ascii="宋体" w:hAnsi="宋体"/>
                <w:b/>
                <w:sz w:val="21"/>
                <w:szCs w:val="21"/>
              </w:rPr>
              <w:t>/</w:t>
            </w:r>
            <w:r>
              <w:rPr>
                <w:rFonts w:hint="eastAsia" w:ascii="宋体" w:hAnsi="宋体"/>
                <w:b/>
                <w:sz w:val="21"/>
                <w:szCs w:val="21"/>
              </w:rPr>
              <w:t>职业健康安全目标指标进行定期监测</w:t>
            </w:r>
            <w:r>
              <w:rPr>
                <w:rFonts w:ascii="宋体" w:hAnsi="宋体"/>
                <w:b/>
                <w:sz w:val="21"/>
                <w:szCs w:val="21"/>
              </w:rPr>
              <w:t>/</w:t>
            </w:r>
            <w:r>
              <w:rPr>
                <w:rFonts w:hint="eastAsia" w:ascii="宋体" w:hAnsi="宋体"/>
                <w:b/>
                <w:sz w:val="21"/>
                <w:szCs w:val="21"/>
              </w:rPr>
              <w:t>检查情况</w:t>
            </w:r>
          </w:p>
          <w:p>
            <w:pPr>
              <w:spacing w:line="360" w:lineRule="auto"/>
              <w:ind w:firstLine="105" w:firstLineChars="50"/>
              <w:rPr>
                <w:rFonts w:ascii="宋体" w:hAnsi="宋体"/>
                <w:b/>
                <w:sz w:val="21"/>
                <w:szCs w:val="21"/>
              </w:rPr>
            </w:pPr>
            <w:r>
              <w:rPr>
                <w:rFonts w:hint="eastAsia" w:asciiTheme="minorEastAsia" w:hAnsiTheme="minorEastAsia" w:eastAsiaTheme="minorEastAsia"/>
                <w:sz w:val="21"/>
                <w:szCs w:val="21"/>
                <w:u w:val="none"/>
              </w:rPr>
              <w:t>20</w:t>
            </w:r>
            <w:r>
              <w:rPr>
                <w:rFonts w:hint="eastAsia" w:asciiTheme="minorEastAsia" w:hAnsiTheme="minorEastAsia" w:eastAsiaTheme="minorEastAsia"/>
                <w:sz w:val="21"/>
                <w:szCs w:val="21"/>
                <w:u w:val="none"/>
                <w:lang w:val="en-US" w:eastAsia="zh-CN"/>
              </w:rPr>
              <w:t>20</w:t>
            </w:r>
            <w:r>
              <w:rPr>
                <w:rFonts w:hint="eastAsia" w:asciiTheme="minorEastAsia" w:hAnsiTheme="minorEastAsia" w:eastAsiaTheme="minorEastAsia"/>
                <w:sz w:val="21"/>
                <w:szCs w:val="21"/>
                <w:u w:val="none"/>
              </w:rPr>
              <w:t>.</w:t>
            </w:r>
            <w:r>
              <w:rPr>
                <w:rFonts w:hint="eastAsia" w:asciiTheme="minorEastAsia" w:hAnsiTheme="minorEastAsia" w:eastAsiaTheme="minorEastAsia"/>
                <w:sz w:val="21"/>
                <w:szCs w:val="21"/>
                <w:u w:val="none"/>
                <w:lang w:val="en-US" w:eastAsia="zh-CN"/>
              </w:rPr>
              <w:t>7</w:t>
            </w:r>
            <w:r>
              <w:rPr>
                <w:rFonts w:hint="eastAsia" w:asciiTheme="minorEastAsia" w:hAnsiTheme="minorEastAsia" w:eastAsiaTheme="minorEastAsia"/>
                <w:sz w:val="21"/>
                <w:szCs w:val="21"/>
                <w:u w:val="none"/>
              </w:rPr>
              <w:t>.3日对质量目标进行了检查，能达标。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3"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numPr>
                <w:ilvl w:val="0"/>
                <w:numId w:val="6"/>
              </w:numPr>
              <w:spacing w:line="360" w:lineRule="auto"/>
              <w:ind w:left="105" w:hanging="105" w:hangingChars="50"/>
              <w:rPr>
                <w:rFonts w:hint="eastAsia" w:ascii="宋体" w:hAnsi="宋体"/>
                <w:b/>
                <w:sz w:val="21"/>
                <w:szCs w:val="21"/>
              </w:rPr>
            </w:pPr>
            <w:r>
              <w:rPr>
                <w:rFonts w:hint="eastAsia" w:ascii="宋体" w:hAnsi="宋体"/>
                <w:b/>
                <w:sz w:val="21"/>
                <w:szCs w:val="21"/>
              </w:rPr>
              <w:t>顾客满意</w:t>
            </w:r>
          </w:p>
          <w:p>
            <w:pPr>
              <w:numPr>
                <w:ilvl w:val="0"/>
                <w:numId w:val="0"/>
              </w:numPr>
              <w:spacing w:line="360" w:lineRule="auto"/>
              <w:ind w:leftChars="-50"/>
              <w:rPr>
                <w:rFonts w:ascii="宋体" w:hAnsi="宋体"/>
                <w:b/>
                <w:sz w:val="21"/>
                <w:szCs w:val="21"/>
              </w:rPr>
            </w:pPr>
            <w:r>
              <w:rPr>
                <w:rFonts w:hint="eastAsia" w:ascii="宋体" w:hAnsi="宋体"/>
                <w:b w:val="0"/>
                <w:bCs/>
                <w:sz w:val="21"/>
                <w:szCs w:val="21"/>
              </w:rPr>
              <w:t>企业主要通过开展顾客满意度调查来收集并了解顾客满意的信息，查见顾客满意程度调查表。调查表从产品质量、外观、价格、交付时间、售后服务等方面对顾客满意度进行了调查，统计结果表明顾客满意。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4"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360" w:lineRule="auto"/>
              <w:rPr>
                <w:rFonts w:ascii="宋体" w:hAnsi="宋体"/>
                <w:b/>
                <w:sz w:val="21"/>
                <w:szCs w:val="21"/>
              </w:rPr>
            </w:pPr>
            <w:r>
              <w:rPr>
                <w:rFonts w:ascii="宋体" w:hAnsi="宋体"/>
                <w:b/>
                <w:sz w:val="21"/>
                <w:szCs w:val="21"/>
              </w:rPr>
              <w:t xml:space="preserve">3. </w:t>
            </w:r>
            <w:r>
              <w:rPr>
                <w:rFonts w:hint="eastAsia" w:ascii="宋体" w:hAnsi="宋体"/>
                <w:b/>
                <w:sz w:val="21"/>
                <w:szCs w:val="21"/>
              </w:rPr>
              <w:t>内审（包括内审策划审核方案中考虑拟审核的过程和区域的状况和重要性）</w:t>
            </w:r>
          </w:p>
          <w:p>
            <w:pPr>
              <w:spacing w:line="360" w:lineRule="auto"/>
              <w:rPr>
                <w:rFonts w:hint="eastAsia" w:ascii="宋体" w:hAnsi="宋体" w:eastAsia="宋体" w:cs="宋体"/>
                <w:b/>
                <w:color w:val="000000"/>
                <w:sz w:val="21"/>
                <w:szCs w:val="21"/>
                <w:u w:val="none"/>
              </w:rPr>
            </w:pPr>
            <w:r>
              <w:rPr>
                <w:rFonts w:hint="eastAsia" w:ascii="宋体" w:hAnsi="宋体" w:eastAsia="宋体" w:cs="宋体"/>
                <w:b/>
                <w:color w:val="000000"/>
                <w:sz w:val="21"/>
                <w:szCs w:val="21"/>
              </w:rPr>
              <w:t xml:space="preserve"> </w:t>
            </w:r>
            <w:r>
              <w:rPr>
                <w:rFonts w:hint="eastAsia" w:ascii="宋体" w:hAnsi="宋体" w:cs="宋体"/>
                <w:b/>
                <w:color w:val="000000"/>
                <w:sz w:val="21"/>
                <w:szCs w:val="21"/>
                <w:lang w:val="en-US" w:eastAsia="zh-CN"/>
              </w:rPr>
              <w:t xml:space="preserve">  </w:t>
            </w:r>
            <w:r>
              <w:rPr>
                <w:rFonts w:hint="eastAsia" w:ascii="宋体" w:hAnsi="宋体" w:eastAsia="宋体" w:cs="宋体"/>
                <w:sz w:val="21"/>
                <w:szCs w:val="21"/>
                <w:u w:val="none"/>
              </w:rPr>
              <w:t>每年一次，本次20</w:t>
            </w:r>
            <w:r>
              <w:rPr>
                <w:rFonts w:hint="eastAsia" w:ascii="宋体" w:hAnsi="宋体" w:cs="宋体"/>
                <w:sz w:val="21"/>
                <w:szCs w:val="21"/>
                <w:u w:val="none"/>
                <w:lang w:val="en-US" w:eastAsia="zh-CN"/>
              </w:rPr>
              <w:t>20</w:t>
            </w:r>
            <w:r>
              <w:rPr>
                <w:rFonts w:hint="eastAsia" w:ascii="宋体" w:hAnsi="宋体" w:eastAsia="宋体" w:cs="宋体"/>
                <w:sz w:val="21"/>
                <w:szCs w:val="21"/>
                <w:u w:val="none"/>
              </w:rPr>
              <w:t>.</w:t>
            </w:r>
            <w:r>
              <w:rPr>
                <w:rFonts w:hint="eastAsia" w:ascii="宋体" w:hAnsi="宋体" w:cs="宋体"/>
                <w:sz w:val="21"/>
                <w:szCs w:val="21"/>
                <w:u w:val="none"/>
                <w:lang w:val="en-US" w:eastAsia="zh-CN"/>
              </w:rPr>
              <w:t>7</w:t>
            </w:r>
            <w:r>
              <w:rPr>
                <w:rFonts w:hint="eastAsia" w:ascii="宋体" w:hAnsi="宋体" w:eastAsia="宋体" w:cs="宋体"/>
                <w:sz w:val="21"/>
                <w:szCs w:val="21"/>
                <w:u w:val="none"/>
              </w:rPr>
              <w:t>.</w:t>
            </w:r>
            <w:r>
              <w:rPr>
                <w:rFonts w:hint="eastAsia" w:ascii="宋体" w:hAnsi="宋体" w:cs="宋体"/>
                <w:sz w:val="21"/>
                <w:szCs w:val="21"/>
                <w:u w:val="none"/>
                <w:lang w:val="en-US" w:eastAsia="zh-CN"/>
              </w:rPr>
              <w:t>4</w:t>
            </w:r>
            <w:r>
              <w:rPr>
                <w:rFonts w:hint="eastAsia" w:ascii="宋体" w:hAnsi="宋体" w:eastAsia="宋体" w:cs="宋体"/>
                <w:sz w:val="21"/>
                <w:szCs w:val="21"/>
                <w:u w:val="none"/>
              </w:rPr>
              <w:t>-</w:t>
            </w:r>
            <w:r>
              <w:rPr>
                <w:rFonts w:hint="eastAsia" w:ascii="宋体" w:hAnsi="宋体" w:cs="宋体"/>
                <w:sz w:val="21"/>
                <w:szCs w:val="21"/>
                <w:u w:val="none"/>
                <w:lang w:val="en-US" w:eastAsia="zh-CN"/>
              </w:rPr>
              <w:t>5</w:t>
            </w:r>
            <w:r>
              <w:rPr>
                <w:rFonts w:hint="eastAsia" w:ascii="宋体" w:hAnsi="宋体" w:eastAsia="宋体" w:cs="宋体"/>
                <w:sz w:val="21"/>
                <w:szCs w:val="21"/>
                <w:u w:val="none"/>
              </w:rPr>
              <w:t>日内审。</w:t>
            </w:r>
          </w:p>
          <w:p>
            <w:pPr>
              <w:spacing w:line="360" w:lineRule="auto"/>
              <w:rPr>
                <w:b/>
                <w:color w:val="000000"/>
                <w:sz w:val="20"/>
                <w:szCs w:val="20"/>
              </w:rPr>
            </w:pPr>
            <w:r>
              <w:rPr>
                <w:rFonts w:hint="eastAsia"/>
                <w:b/>
                <w:color w:val="000000"/>
                <w:sz w:val="20"/>
                <w:szCs w:val="20"/>
              </w:rPr>
              <w:t xml:space="preserve">了解内审是否覆盖了管理体系范围内的活动及标准的要求; </w:t>
            </w:r>
          </w:p>
          <w:p>
            <w:pPr>
              <w:spacing w:line="360" w:lineRule="auto"/>
              <w:ind w:firstLine="240" w:firstLineChars="100"/>
              <w:rPr>
                <w:rFonts w:ascii="宋体" w:hAnsi="宋体" w:eastAsia="宋体"/>
                <w:szCs w:val="22"/>
                <w:u w:val="none"/>
              </w:rPr>
            </w:pPr>
            <w:r>
              <w:rPr>
                <w:rFonts w:hint="eastAsia" w:ascii="宋体" w:hAnsi="宋体" w:eastAsia="宋体"/>
                <w:szCs w:val="22"/>
                <w:u w:val="none"/>
              </w:rPr>
              <w:t>覆盖。</w:t>
            </w:r>
          </w:p>
          <w:p>
            <w:pPr>
              <w:spacing w:line="360" w:lineRule="auto"/>
              <w:rPr>
                <w:b/>
                <w:color w:val="000000"/>
                <w:sz w:val="20"/>
                <w:szCs w:val="20"/>
              </w:rPr>
            </w:pPr>
            <w:r>
              <w:rPr>
                <w:rFonts w:hint="eastAsia"/>
                <w:b/>
                <w:color w:val="000000"/>
                <w:sz w:val="20"/>
                <w:szCs w:val="20"/>
              </w:rPr>
              <w:t>了解内审结论是什么？</w:t>
            </w:r>
          </w:p>
          <w:p>
            <w:pPr>
              <w:spacing w:line="360" w:lineRule="auto"/>
              <w:rPr>
                <w:rFonts w:ascii="宋体" w:hAnsi="宋体"/>
                <w:b/>
                <w:sz w:val="21"/>
                <w:szCs w:val="21"/>
              </w:rPr>
            </w:pPr>
            <w:r>
              <w:rPr>
                <w:rFonts w:hint="eastAsia" w:ascii="宋体" w:hAnsi="宋体" w:eastAsia="宋体"/>
                <w:sz w:val="21"/>
                <w:szCs w:val="22"/>
                <w:u w:val="none"/>
              </w:rPr>
              <w:t>本次内审从体系运行的效果看，产品实体质量和受控情况有所改进，员工质量意识和顾客满意度有不同程度提高，管理以及物流和信息流的传递都有一定改进。说明公司质量管理体系总体有效运行，基本符合GB/T 19001</w:t>
            </w:r>
            <w:r>
              <w:rPr>
                <w:rFonts w:hint="eastAsia" w:ascii="宋体" w:hAnsi="宋体"/>
                <w:sz w:val="21"/>
                <w:szCs w:val="22"/>
                <w:u w:val="none"/>
                <w:lang w:val="en-US" w:eastAsia="zh-CN"/>
              </w:rPr>
              <w:t>-</w:t>
            </w:r>
            <w:r>
              <w:rPr>
                <w:rFonts w:hint="eastAsia" w:ascii="宋体" w:hAnsi="宋体" w:eastAsia="宋体"/>
                <w:sz w:val="21"/>
                <w:szCs w:val="22"/>
                <w:u w:val="none"/>
              </w:rPr>
              <w:t>2016及体系文件的要求，具备达到规定的质量目标的能力。已发现的1个不符合项已及时纠正整改。</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1"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4.</w:t>
            </w:r>
            <w:r>
              <w:rPr>
                <w:rFonts w:hint="eastAsia" w:ascii="宋体" w:hAnsi="宋体"/>
                <w:b/>
                <w:sz w:val="21"/>
                <w:szCs w:val="21"/>
              </w:rPr>
              <w:t>管理评审（管理评审体系变更需求，纠正和预防措施、体系有效性等）</w:t>
            </w:r>
          </w:p>
          <w:p>
            <w:pPr>
              <w:spacing w:line="360" w:lineRule="auto"/>
              <w:ind w:firstLine="210" w:firstLineChars="100"/>
              <w:rPr>
                <w:b/>
                <w:color w:val="000000"/>
                <w:sz w:val="21"/>
                <w:szCs w:val="21"/>
                <w:u w:val="none"/>
              </w:rPr>
            </w:pPr>
            <w:r>
              <w:rPr>
                <w:rFonts w:hint="eastAsia" w:ascii="宋体" w:hAnsi="宋体" w:eastAsia="宋体"/>
                <w:sz w:val="21"/>
                <w:szCs w:val="21"/>
                <w:u w:val="none"/>
              </w:rPr>
              <w:t>每年一次，20</w:t>
            </w:r>
            <w:r>
              <w:rPr>
                <w:rFonts w:hint="eastAsia" w:ascii="宋体" w:hAnsi="宋体" w:eastAsia="宋体"/>
                <w:sz w:val="21"/>
                <w:szCs w:val="21"/>
                <w:u w:val="none"/>
                <w:lang w:val="en-US" w:eastAsia="zh-CN"/>
              </w:rPr>
              <w:t>20</w:t>
            </w:r>
            <w:r>
              <w:rPr>
                <w:rFonts w:hint="eastAsia" w:ascii="宋体" w:hAnsi="宋体" w:eastAsia="宋体"/>
                <w:sz w:val="21"/>
                <w:szCs w:val="21"/>
                <w:u w:val="none"/>
              </w:rPr>
              <w:t>.</w:t>
            </w:r>
            <w:r>
              <w:rPr>
                <w:rFonts w:hint="eastAsia" w:ascii="宋体" w:hAnsi="宋体"/>
                <w:sz w:val="21"/>
                <w:szCs w:val="21"/>
                <w:u w:val="none"/>
                <w:lang w:val="en-US" w:eastAsia="zh-CN"/>
              </w:rPr>
              <w:t>7</w:t>
            </w:r>
            <w:r>
              <w:rPr>
                <w:rFonts w:hint="eastAsia" w:ascii="宋体" w:hAnsi="宋体" w:eastAsia="宋体"/>
                <w:sz w:val="21"/>
                <w:szCs w:val="21"/>
                <w:u w:val="none"/>
              </w:rPr>
              <w:t>.2</w:t>
            </w:r>
            <w:r>
              <w:rPr>
                <w:rFonts w:hint="eastAsia" w:ascii="宋体" w:hAnsi="宋体" w:eastAsia="宋体"/>
                <w:sz w:val="21"/>
                <w:szCs w:val="21"/>
                <w:u w:val="none"/>
                <w:lang w:val="en-US" w:eastAsia="zh-CN"/>
              </w:rPr>
              <w:t>0</w:t>
            </w:r>
            <w:r>
              <w:rPr>
                <w:rFonts w:hint="eastAsia" w:ascii="宋体" w:hAnsi="宋体" w:eastAsia="宋体"/>
                <w:sz w:val="21"/>
                <w:szCs w:val="21"/>
                <w:u w:val="none"/>
              </w:rPr>
              <w:t>日管理评审。</w:t>
            </w:r>
          </w:p>
          <w:p>
            <w:pPr>
              <w:spacing w:line="360" w:lineRule="auto"/>
              <w:rPr>
                <w:b/>
                <w:color w:val="000000"/>
                <w:sz w:val="20"/>
                <w:szCs w:val="20"/>
              </w:rPr>
            </w:pPr>
            <w:r>
              <w:rPr>
                <w:rFonts w:hint="eastAsia"/>
                <w:b/>
                <w:color w:val="000000"/>
                <w:sz w:val="20"/>
                <w:szCs w:val="20"/>
              </w:rPr>
              <w:t xml:space="preserve">了解管理评审输入是否充分; </w:t>
            </w:r>
          </w:p>
          <w:p>
            <w:pPr>
              <w:spacing w:line="360" w:lineRule="auto"/>
              <w:ind w:firstLine="210" w:firstLineChars="100"/>
              <w:rPr>
                <w:rFonts w:ascii="宋体" w:hAnsi="宋体" w:eastAsia="宋体"/>
                <w:sz w:val="21"/>
                <w:szCs w:val="21"/>
                <w:u w:val="none"/>
              </w:rPr>
            </w:pPr>
            <w:r>
              <w:rPr>
                <w:rFonts w:hint="eastAsia" w:ascii="宋体" w:hAnsi="宋体" w:eastAsia="宋体"/>
                <w:sz w:val="21"/>
                <w:szCs w:val="21"/>
                <w:u w:val="none"/>
              </w:rPr>
              <w:t>输入基本充分。</w:t>
            </w:r>
          </w:p>
          <w:p>
            <w:pPr>
              <w:spacing w:line="360" w:lineRule="auto"/>
              <w:rPr>
                <w:b/>
                <w:color w:val="000000"/>
                <w:sz w:val="20"/>
                <w:szCs w:val="20"/>
              </w:rPr>
            </w:pPr>
            <w:r>
              <w:rPr>
                <w:rFonts w:hint="eastAsia"/>
                <w:b/>
                <w:color w:val="000000"/>
                <w:sz w:val="20"/>
                <w:szCs w:val="20"/>
              </w:rPr>
              <w:t xml:space="preserve">了解管理评审结论; </w:t>
            </w:r>
          </w:p>
          <w:p>
            <w:pPr>
              <w:spacing w:line="240" w:lineRule="exact"/>
              <w:rPr>
                <w:rFonts w:ascii="宋体" w:hAnsi="宋体"/>
                <w:b/>
                <w:sz w:val="21"/>
                <w:szCs w:val="21"/>
              </w:rPr>
            </w:pPr>
            <w:r>
              <w:rPr>
                <w:rFonts w:hint="eastAsia"/>
                <w:sz w:val="24"/>
                <w:lang w:val="en-US" w:eastAsia="zh-CN"/>
              </w:rPr>
              <w:t xml:space="preserve"> </w:t>
            </w:r>
            <w:r>
              <w:rPr>
                <w:rFonts w:hint="eastAsia"/>
                <w:sz w:val="21"/>
                <w:szCs w:val="21"/>
              </w:rPr>
              <w:t>公司的质量管理体系基本适宜、充分和有效</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4"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5.  EMS</w:t>
            </w:r>
            <w:r>
              <w:rPr>
                <w:rFonts w:hint="eastAsia" w:ascii="宋体" w:hAnsi="宋体"/>
                <w:b/>
                <w:sz w:val="21"/>
                <w:szCs w:val="21"/>
              </w:rPr>
              <w:t>是否按规定对主要污染物（污水、废气、噪声、废渣等）及排放实施了例行的监视或测量，结果是否满足相关要求？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7"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ind w:left="105" w:hanging="105" w:hangingChars="50"/>
              <w:rPr>
                <w:rFonts w:ascii="宋体" w:hAnsi="宋体"/>
                <w:b/>
                <w:sz w:val="21"/>
                <w:szCs w:val="21"/>
              </w:rPr>
            </w:pPr>
            <w:r>
              <w:rPr>
                <w:rFonts w:ascii="宋体" w:hAnsi="宋体"/>
                <w:b/>
                <w:sz w:val="21"/>
                <w:szCs w:val="21"/>
              </w:rPr>
              <w:t>6.  EMS</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地方环保部门监测结果、新改扩建项目符合环评报告、三同时验收报告要求情况及措施</w:t>
            </w:r>
            <w:r>
              <w:rPr>
                <w:rFonts w:ascii="宋体" w:hAnsi="宋体"/>
                <w:b/>
                <w:sz w:val="21"/>
                <w:szCs w:val="21"/>
              </w:rPr>
              <w:t>(98</w:t>
            </w:r>
            <w:r>
              <w:rPr>
                <w:rFonts w:hint="eastAsia" w:ascii="宋体" w:hAnsi="宋体"/>
                <w:b/>
                <w:sz w:val="21"/>
                <w:szCs w:val="21"/>
              </w:rPr>
              <w:t>年后</w:t>
            </w:r>
            <w:r>
              <w:rPr>
                <w:rFonts w:ascii="宋体" w:hAnsi="宋体"/>
                <w:b/>
                <w:sz w:val="21"/>
                <w:szCs w:val="21"/>
              </w:rPr>
              <w:t xml:space="preserve">) </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ind w:left="105" w:hanging="105" w:hangingChars="50"/>
              <w:rPr>
                <w:rFonts w:ascii="宋体" w:hAnsi="宋体"/>
                <w:b/>
                <w:sz w:val="21"/>
                <w:szCs w:val="21"/>
              </w:rPr>
            </w:pPr>
            <w:r>
              <w:rPr>
                <w:rFonts w:ascii="宋体" w:hAnsi="宋体"/>
                <w:b/>
                <w:sz w:val="21"/>
                <w:szCs w:val="21"/>
              </w:rPr>
              <w:t>7. OHSMS</w:t>
            </w:r>
            <w:r>
              <w:rPr>
                <w:rFonts w:hint="eastAsia" w:ascii="宋体" w:hAnsi="宋体"/>
                <w:b/>
                <w:sz w:val="21"/>
                <w:szCs w:val="21"/>
              </w:rPr>
              <w:t>是否按规定对职业健康安全项目进行定期测量，结果是否满足相关要求：</w:t>
            </w:r>
          </w:p>
          <w:p>
            <w:pPr>
              <w:spacing w:line="300" w:lineRule="exact"/>
              <w:rPr>
                <w:rFonts w:ascii="宋体" w:hAnsi="宋体"/>
                <w:b/>
                <w:sz w:val="21"/>
                <w:szCs w:val="21"/>
              </w:rPr>
            </w:pP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2"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8.OHSMS</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地方职业健康安全部门监督检查情况及措施</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vAlign w:val="center"/>
          </w:tcPr>
          <w:p>
            <w:pPr>
              <w:spacing w:line="240" w:lineRule="exact"/>
              <w:jc w:val="center"/>
              <w:rPr>
                <w:b/>
                <w:sz w:val="20"/>
              </w:rPr>
            </w:pPr>
          </w:p>
        </w:tc>
        <w:tc>
          <w:tcPr>
            <w:tcW w:w="9198" w:type="dxa"/>
          </w:tcPr>
          <w:p>
            <w:pPr>
              <w:widowControl/>
              <w:numPr>
                <w:ilvl w:val="0"/>
                <w:numId w:val="7"/>
              </w:numPr>
              <w:spacing w:line="360" w:lineRule="auto"/>
              <w:jc w:val="left"/>
              <w:rPr>
                <w:rFonts w:hint="eastAsia" w:ascii="宋体" w:hAnsi="宋体"/>
                <w:b/>
                <w:sz w:val="21"/>
                <w:szCs w:val="21"/>
              </w:rPr>
            </w:pPr>
            <w:r>
              <w:rPr>
                <w:rFonts w:hint="eastAsia" w:ascii="宋体" w:hAnsi="宋体"/>
                <w:b/>
                <w:sz w:val="21"/>
                <w:szCs w:val="21"/>
              </w:rPr>
              <w:t>其他能够标明组织绩效、信誉的证据</w:t>
            </w:r>
            <w:r>
              <w:rPr>
                <w:rFonts w:ascii="宋体" w:hAnsi="宋体"/>
                <w:b/>
                <w:sz w:val="21"/>
                <w:szCs w:val="21"/>
              </w:rPr>
              <w:t>/</w:t>
            </w:r>
            <w:r>
              <w:rPr>
                <w:rFonts w:hint="eastAsia" w:ascii="宋体" w:hAnsi="宋体"/>
                <w:b/>
                <w:sz w:val="21"/>
                <w:szCs w:val="21"/>
              </w:rPr>
              <w:t>信息：</w:t>
            </w:r>
          </w:p>
          <w:p>
            <w:pPr>
              <w:widowControl/>
              <w:numPr>
                <w:ilvl w:val="0"/>
                <w:numId w:val="0"/>
              </w:numPr>
              <w:spacing w:line="360" w:lineRule="auto"/>
              <w:jc w:val="left"/>
              <w:rPr>
                <w:rFonts w:ascii="宋体" w:hAnsi="宋体"/>
                <w:b/>
                <w:sz w:val="21"/>
                <w:szCs w:val="21"/>
              </w:rPr>
            </w:pPr>
            <w:r>
              <w:rPr>
                <w:rFonts w:hint="eastAsia" w:ascii="宋体" w:hAnsi="宋体" w:eastAsia="宋体"/>
                <w:szCs w:val="22"/>
                <w:u w:val="singl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0" w:hRule="atLeast"/>
          <w:jc w:val="center"/>
        </w:trPr>
        <w:tc>
          <w:tcPr>
            <w:tcW w:w="720" w:type="dxa"/>
            <w:vMerge w:val="restart"/>
            <w:vAlign w:val="center"/>
          </w:tcPr>
          <w:p>
            <w:pPr>
              <w:spacing w:line="240" w:lineRule="exact"/>
              <w:ind w:left="113" w:right="113"/>
              <w:jc w:val="center"/>
              <w:rPr>
                <w:rFonts w:ascii="宋体" w:hAnsi="宋体"/>
                <w:b/>
                <w:szCs w:val="21"/>
              </w:rPr>
            </w:pPr>
            <w:r>
              <w:rPr>
                <w:rFonts w:hint="eastAsia" w:ascii="宋体" w:hAnsi="宋体"/>
                <w:b/>
                <w:szCs w:val="21"/>
              </w:rPr>
              <w:t>(五)持</w:t>
            </w:r>
          </w:p>
          <w:p>
            <w:pPr>
              <w:spacing w:line="240" w:lineRule="exact"/>
              <w:ind w:left="113" w:right="113"/>
              <w:jc w:val="center"/>
              <w:rPr>
                <w:rFonts w:ascii="宋体" w:hAnsi="宋体"/>
                <w:b/>
                <w:szCs w:val="21"/>
              </w:rPr>
            </w:pPr>
            <w:r>
              <w:rPr>
                <w:rFonts w:hint="eastAsia" w:ascii="宋体" w:hAnsi="宋体"/>
                <w:b/>
                <w:szCs w:val="21"/>
              </w:rPr>
              <w:t>续</w:t>
            </w:r>
          </w:p>
          <w:p>
            <w:pPr>
              <w:spacing w:line="240" w:lineRule="exact"/>
              <w:ind w:left="113" w:right="113"/>
              <w:jc w:val="center"/>
              <w:rPr>
                <w:rFonts w:ascii="宋体" w:hAnsi="宋体"/>
                <w:b/>
                <w:szCs w:val="21"/>
              </w:rPr>
            </w:pPr>
            <w:r>
              <w:rPr>
                <w:rFonts w:hint="eastAsia" w:ascii="宋体" w:hAnsi="宋体"/>
                <w:b/>
                <w:szCs w:val="21"/>
              </w:rPr>
              <w:t>改</w:t>
            </w:r>
          </w:p>
          <w:p>
            <w:pPr>
              <w:spacing w:line="240" w:lineRule="exact"/>
              <w:ind w:left="113" w:right="113"/>
              <w:jc w:val="center"/>
              <w:rPr>
                <w:b/>
                <w:sz w:val="20"/>
              </w:rPr>
            </w:pPr>
            <w:r>
              <w:rPr>
                <w:rFonts w:hint="eastAsia" w:ascii="宋体" w:hAnsi="宋体"/>
                <w:b/>
                <w:szCs w:val="21"/>
              </w:rPr>
              <w:t>进</w:t>
            </w:r>
          </w:p>
        </w:tc>
        <w:tc>
          <w:tcPr>
            <w:tcW w:w="9198" w:type="dxa"/>
          </w:tcPr>
          <w:p>
            <w:pPr>
              <w:spacing w:line="360" w:lineRule="auto"/>
              <w:rPr>
                <w:rFonts w:ascii="宋体" w:hAnsi="宋体"/>
                <w:b/>
                <w:sz w:val="21"/>
                <w:szCs w:val="21"/>
              </w:rPr>
            </w:pPr>
            <w:r>
              <w:rPr>
                <w:rFonts w:ascii="宋体" w:hAnsi="宋体"/>
                <w:b/>
                <w:sz w:val="21"/>
                <w:szCs w:val="21"/>
              </w:rPr>
              <w:t xml:space="preserve">1 </w:t>
            </w:r>
            <w:r>
              <w:rPr>
                <w:rFonts w:hint="eastAsia" w:ascii="宋体" w:hAnsi="宋体"/>
                <w:b/>
                <w:sz w:val="21"/>
                <w:szCs w:val="21"/>
              </w:rPr>
              <w:t>纠正措施的实施及效果</w:t>
            </w:r>
            <w:r>
              <w:rPr>
                <w:rFonts w:ascii="宋体" w:hAnsi="宋体"/>
                <w:b/>
                <w:sz w:val="21"/>
                <w:szCs w:val="21"/>
              </w:rPr>
              <w:t>;</w:t>
            </w:r>
          </w:p>
          <w:p>
            <w:pPr>
              <w:spacing w:line="360" w:lineRule="auto"/>
              <w:rPr>
                <w:rFonts w:ascii="宋体" w:hAnsi="宋体"/>
                <w:b/>
                <w:sz w:val="21"/>
                <w:szCs w:val="21"/>
              </w:rPr>
            </w:pPr>
            <w:r>
              <w:rPr>
                <w:rFonts w:hint="eastAsia" w:ascii="宋体" w:hAnsi="宋体"/>
                <w:b w:val="0"/>
                <w:bCs/>
                <w:sz w:val="21"/>
                <w:szCs w:val="21"/>
              </w:rPr>
              <w:t>对纠正预防措施识别、评审、验证，事故事件报告、调查、处理等作了规定，其内容符合组织实际及标准要求。针对内审管理评审提出的问题已采取了纠正措施。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9" w:hRule="atLeast"/>
          <w:jc w:val="center"/>
        </w:trPr>
        <w:tc>
          <w:tcPr>
            <w:tcW w:w="720" w:type="dxa"/>
            <w:vMerge w:val="continue"/>
            <w:vAlign w:val="center"/>
          </w:tcPr>
          <w:p>
            <w:pPr>
              <w:spacing w:line="240" w:lineRule="exact"/>
              <w:jc w:val="center"/>
              <w:rPr>
                <w:b/>
                <w:sz w:val="20"/>
              </w:rPr>
            </w:pPr>
          </w:p>
        </w:tc>
        <w:tc>
          <w:tcPr>
            <w:tcW w:w="9198" w:type="dxa"/>
          </w:tcPr>
          <w:p>
            <w:pPr>
              <w:spacing w:line="360" w:lineRule="auto"/>
              <w:rPr>
                <w:rFonts w:ascii="宋体" w:hAnsi="宋体"/>
                <w:b/>
                <w:sz w:val="21"/>
                <w:szCs w:val="21"/>
              </w:rPr>
            </w:pPr>
            <w:r>
              <w:rPr>
                <w:rFonts w:ascii="宋体" w:hAnsi="宋体"/>
                <w:b/>
                <w:sz w:val="21"/>
                <w:szCs w:val="21"/>
              </w:rPr>
              <w:t>2.</w:t>
            </w:r>
            <w:r>
              <w:rPr>
                <w:rFonts w:hint="eastAsia" w:ascii="宋体" w:hAnsi="宋体"/>
                <w:b/>
                <w:sz w:val="21"/>
                <w:szCs w:val="21"/>
              </w:rPr>
              <w:t>（上次审核后）重大事故、顾客</w:t>
            </w:r>
            <w:r>
              <w:rPr>
                <w:rFonts w:ascii="宋体" w:hAnsi="宋体"/>
                <w:b/>
                <w:sz w:val="21"/>
                <w:szCs w:val="21"/>
              </w:rPr>
              <w:t>/</w:t>
            </w:r>
            <w:r>
              <w:rPr>
                <w:rFonts w:hint="eastAsia" w:ascii="宋体" w:hAnsi="宋体"/>
                <w:b/>
                <w:sz w:val="21"/>
                <w:szCs w:val="21"/>
              </w:rPr>
              <w:t>相关方投诉：</w:t>
            </w:r>
          </w:p>
          <w:p>
            <w:pPr>
              <w:spacing w:line="360" w:lineRule="auto"/>
              <w:rPr>
                <w:rFonts w:ascii="宋体" w:hAnsi="宋体"/>
                <w:b/>
                <w:sz w:val="21"/>
                <w:szCs w:val="21"/>
              </w:rPr>
            </w:pPr>
            <w:r>
              <w:rPr>
                <w:rFonts w:hint="eastAsia" w:ascii="宋体" w:hAnsi="宋体"/>
                <w:b w:val="0"/>
                <w:bCs/>
                <w:sz w:val="21"/>
                <w:szCs w:val="21"/>
              </w:rPr>
              <w:t>未发生。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sz w:val="20"/>
              </w:rPr>
            </w:pPr>
          </w:p>
        </w:tc>
        <w:tc>
          <w:tcPr>
            <w:tcW w:w="9198" w:type="dxa"/>
          </w:tcPr>
          <w:p>
            <w:pPr>
              <w:numPr>
                <w:ilvl w:val="0"/>
                <w:numId w:val="6"/>
              </w:numPr>
              <w:spacing w:line="360" w:lineRule="auto"/>
              <w:ind w:left="105" w:leftChars="0" w:hanging="105" w:hangingChars="50"/>
              <w:rPr>
                <w:rFonts w:hint="eastAsia" w:ascii="宋体" w:hAnsi="宋体"/>
                <w:b/>
                <w:sz w:val="21"/>
                <w:szCs w:val="21"/>
              </w:rPr>
            </w:pPr>
            <w:r>
              <w:rPr>
                <w:rFonts w:hint="eastAsia" w:ascii="宋体" w:hAnsi="宋体"/>
                <w:b/>
                <w:sz w:val="21"/>
                <w:szCs w:val="21"/>
              </w:rPr>
              <w:t>创新情况</w:t>
            </w:r>
          </w:p>
          <w:p>
            <w:pPr>
              <w:numPr>
                <w:ilvl w:val="0"/>
                <w:numId w:val="0"/>
              </w:numPr>
              <w:spacing w:line="360" w:lineRule="auto"/>
              <w:ind w:leftChars="-50"/>
              <w:rPr>
                <w:rFonts w:hint="eastAsia" w:ascii="宋体" w:hAnsi="宋体" w:eastAsia="宋体"/>
                <w:b/>
                <w:sz w:val="21"/>
                <w:szCs w:val="21"/>
                <w:lang w:val="en-US" w:eastAsia="zh-CN"/>
              </w:rPr>
            </w:pPr>
            <w:r>
              <w:rPr>
                <w:rFonts w:hint="eastAsia" w:ascii="宋体" w:hAnsi="宋体" w:cs="Times New Roman"/>
                <w:b w:val="0"/>
                <w:bCs/>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jc w:val="center"/>
        </w:trPr>
        <w:tc>
          <w:tcPr>
            <w:tcW w:w="720" w:type="dxa"/>
            <w:vMerge w:val="continue"/>
            <w:vAlign w:val="center"/>
          </w:tcPr>
          <w:p>
            <w:pPr>
              <w:spacing w:line="240" w:lineRule="exact"/>
              <w:jc w:val="center"/>
              <w:rPr>
                <w:b/>
                <w:sz w:val="20"/>
              </w:rPr>
            </w:pPr>
          </w:p>
        </w:tc>
        <w:tc>
          <w:tcPr>
            <w:tcW w:w="9198" w:type="dxa"/>
          </w:tcPr>
          <w:p>
            <w:pPr>
              <w:numPr>
                <w:ilvl w:val="0"/>
                <w:numId w:val="6"/>
              </w:numPr>
              <w:spacing w:line="360" w:lineRule="auto"/>
              <w:ind w:left="105" w:leftChars="0" w:hanging="105" w:hangingChars="50"/>
              <w:rPr>
                <w:rFonts w:hint="eastAsia" w:ascii="宋体" w:hAnsi="宋体"/>
                <w:b/>
                <w:sz w:val="21"/>
                <w:szCs w:val="21"/>
              </w:rPr>
            </w:pPr>
            <w:r>
              <w:rPr>
                <w:rFonts w:hint="eastAsia" w:ascii="宋体" w:hAnsi="宋体"/>
                <w:b/>
                <w:sz w:val="21"/>
                <w:szCs w:val="21"/>
              </w:rPr>
              <w:t>上次不符合的整改情况</w:t>
            </w:r>
          </w:p>
          <w:p>
            <w:pPr>
              <w:numPr>
                <w:ilvl w:val="0"/>
                <w:numId w:val="0"/>
              </w:numPr>
              <w:spacing w:line="360" w:lineRule="auto"/>
              <w:ind w:leftChars="-50" w:firstLine="420" w:firstLineChars="200"/>
              <w:rPr>
                <w:rFonts w:hint="default" w:ascii="宋体" w:hAnsi="宋体" w:eastAsia="宋体"/>
                <w:b w:val="0"/>
                <w:bCs/>
                <w:sz w:val="21"/>
                <w:szCs w:val="21"/>
                <w:lang w:val="en-US" w:eastAsia="zh-CN"/>
              </w:rPr>
            </w:pPr>
            <w:r>
              <w:rPr>
                <w:rFonts w:hint="eastAsia" w:ascii="宋体" w:hAnsi="宋体"/>
                <w:b w:val="0"/>
                <w:bCs/>
                <w:sz w:val="21"/>
                <w:szCs w:val="21"/>
              </w:rPr>
              <w:t>上次不符合</w:t>
            </w:r>
            <w:r>
              <w:rPr>
                <w:rFonts w:hint="eastAsia" w:ascii="宋体" w:hAnsi="宋体"/>
                <w:b w:val="0"/>
                <w:bCs/>
                <w:sz w:val="21"/>
                <w:szCs w:val="21"/>
                <w:lang w:val="en-US" w:eastAsia="zh-CN"/>
              </w:rPr>
              <w:t>经验证已整改完成</w:t>
            </w:r>
          </w:p>
          <w:p>
            <w:pPr>
              <w:spacing w:line="240" w:lineRule="exact"/>
              <w:rPr>
                <w:rFonts w:ascii="宋体" w:hAnsi="宋体"/>
                <w:b/>
                <w:sz w:val="21"/>
                <w:szCs w:val="21"/>
              </w:rPr>
            </w:pPr>
          </w:p>
        </w:tc>
      </w:tr>
    </w:tbl>
    <w:p>
      <w:pPr>
        <w:tabs>
          <w:tab w:val="left" w:pos="645"/>
        </w:tabs>
        <w:spacing w:after="163" w:afterLines="50" w:line="360" w:lineRule="exact"/>
        <w:rPr>
          <w:b/>
          <w:sz w:val="26"/>
          <w:szCs w:val="26"/>
        </w:rPr>
      </w:pPr>
    </w:p>
    <w:p>
      <w:pPr>
        <w:tabs>
          <w:tab w:val="left" w:pos="645"/>
        </w:tabs>
        <w:spacing w:after="163" w:afterLines="50" w:line="360" w:lineRule="exact"/>
        <w:rPr>
          <w:b/>
          <w:sz w:val="16"/>
          <w:szCs w:val="16"/>
        </w:rPr>
      </w:pPr>
      <w:r>
        <w:rPr>
          <w:rFonts w:hint="eastAsia"/>
          <w:b/>
          <w:sz w:val="26"/>
          <w:szCs w:val="26"/>
        </w:rPr>
        <w:t>七、其它需要说明的问题</w:t>
      </w:r>
    </w:p>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可能影响本次审核结论可靠性的因素：</w:t>
      </w:r>
    </w:p>
    <w:tbl>
      <w:tblPr>
        <w:tblStyle w:val="7"/>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3"/>
        <w:gridCol w:w="4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353" w:type="dxa"/>
          </w:tcPr>
          <w:p>
            <w:pPr>
              <w:snapToGrid w:val="0"/>
              <w:spacing w:line="360" w:lineRule="auto"/>
              <w:ind w:left="-211" w:leftChars="-88" w:firstLine="537" w:firstLineChars="223"/>
              <w:rPr>
                <w:b/>
                <w:spacing w:val="-10"/>
                <w:szCs w:val="21"/>
              </w:rPr>
            </w:pPr>
            <w:r>
              <w:rPr>
                <w:rFonts w:hint="eastAsia" w:ascii="宋体" w:hAnsi="宋体"/>
                <w:b/>
                <w:szCs w:val="21"/>
              </w:rPr>
              <w:t>影响本次审核结论可靠性的因素</w:t>
            </w:r>
          </w:p>
        </w:tc>
        <w:tc>
          <w:tcPr>
            <w:tcW w:w="4712" w:type="dxa"/>
          </w:tcPr>
          <w:p>
            <w:pPr>
              <w:snapToGrid w:val="0"/>
              <w:spacing w:line="360" w:lineRule="auto"/>
              <w:ind w:left="-211" w:leftChars="-88" w:firstLine="537" w:firstLineChars="223"/>
              <w:rPr>
                <w:rFonts w:ascii="宋体"/>
                <w:b/>
                <w:szCs w:val="21"/>
              </w:rPr>
            </w:pPr>
            <w:r>
              <w:rPr>
                <w:rFonts w:hint="eastAsia" w:ascii="宋体" w:hAnsi="宋体"/>
                <w:b/>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样本量不足</w:t>
            </w:r>
          </w:p>
        </w:tc>
        <w:tc>
          <w:tcPr>
            <w:tcW w:w="4712" w:type="dxa"/>
          </w:tcPr>
          <w:p>
            <w:pPr>
              <w:snapToGrid w:val="0"/>
              <w:spacing w:line="360" w:lineRule="auto"/>
              <w:ind w:left="-211" w:leftChars="-88" w:firstLine="537" w:firstLineChars="223"/>
              <w:rPr>
                <w:rFonts w:asci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知识产权保护</w:t>
            </w:r>
          </w:p>
        </w:tc>
        <w:tc>
          <w:tcPr>
            <w:tcW w:w="4712" w:type="dxa"/>
          </w:tcPr>
          <w:p>
            <w:pPr>
              <w:snapToGrid w:val="0"/>
              <w:spacing w:line="360" w:lineRule="auto"/>
              <w:ind w:left="-211" w:leftChars="-88" w:firstLine="537" w:firstLineChars="223"/>
              <w:rPr>
                <w:rFonts w:ascii="宋体"/>
                <w:b/>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因受审核方信息造成的日数或审核资源不足</w:t>
            </w:r>
          </w:p>
        </w:tc>
        <w:tc>
          <w:tcPr>
            <w:tcW w:w="4712" w:type="dxa"/>
          </w:tcPr>
          <w:p>
            <w:pPr>
              <w:snapToGrid w:val="0"/>
              <w:spacing w:line="360" w:lineRule="auto"/>
              <w:ind w:left="-211" w:leftChars="-88" w:firstLine="537" w:firstLineChars="223"/>
              <w:rPr>
                <w:rFonts w:ascii="宋体"/>
                <w:b/>
                <w:color w:val="FF0000"/>
                <w:szCs w:val="21"/>
              </w:rPr>
            </w:pPr>
          </w:p>
        </w:tc>
      </w:tr>
    </w:tbl>
    <w:p>
      <w:pPr>
        <w:snapToGrid w:val="0"/>
        <w:spacing w:line="360" w:lineRule="auto"/>
        <w:ind w:left="-211" w:leftChars="-88" w:firstLine="493" w:firstLineChars="223"/>
        <w:rPr>
          <w:b/>
          <w:spacing w:val="-10"/>
          <w:szCs w:val="21"/>
        </w:rPr>
      </w:pPr>
    </w:p>
    <w:p>
      <w:pPr>
        <w:snapToGrid w:val="0"/>
        <w:spacing w:line="360" w:lineRule="auto"/>
        <w:ind w:left="-211" w:leftChars="-88" w:firstLine="493" w:firstLineChars="223"/>
        <w:rPr>
          <w:rFonts w:ascii="宋体"/>
          <w:b/>
          <w:szCs w:val="21"/>
        </w:rPr>
      </w:pPr>
      <w:r>
        <w:rPr>
          <w:rFonts w:hint="eastAsia"/>
          <w:b/>
          <w:spacing w:val="-10"/>
          <w:szCs w:val="21"/>
          <w:lang w:eastAsia="zh-CN"/>
        </w:rPr>
        <w:t>☑</w:t>
      </w:r>
      <w:r>
        <w:rPr>
          <w:rFonts w:hint="eastAsia" w:ascii="宋体" w:hAnsi="宋体"/>
          <w:b/>
          <w:szCs w:val="21"/>
        </w:rPr>
        <w:t>达到审核目的</w:t>
      </w:r>
    </w:p>
    <w:p>
      <w:pPr>
        <w:snapToGrid w:val="0"/>
        <w:spacing w:line="360" w:lineRule="auto"/>
        <w:ind w:left="-211" w:leftChars="-88" w:firstLine="493" w:firstLineChars="223"/>
        <w:rPr>
          <w:rFonts w:ascii="宋体"/>
          <w:b/>
          <w:szCs w:val="21"/>
        </w:rPr>
      </w:pPr>
      <w:r>
        <w:rPr>
          <w:rFonts w:hint="eastAsia"/>
          <w:b/>
          <w:spacing w:val="-10"/>
          <w:szCs w:val="21"/>
        </w:rPr>
        <w:t>□未</w:t>
      </w:r>
      <w:r>
        <w:rPr>
          <w:rFonts w:hint="eastAsia" w:ascii="宋体" w:hAnsi="宋体"/>
          <w:b/>
          <w:szCs w:val="21"/>
        </w:rPr>
        <w:t>达到审核目的，未达到目的的原因是：</w:t>
      </w:r>
    </w:p>
    <w:p>
      <w:pPr>
        <w:tabs>
          <w:tab w:val="left" w:pos="645"/>
        </w:tabs>
        <w:spacing w:before="163" w:beforeLines="50" w:after="163" w:afterLines="50" w:line="360" w:lineRule="exact"/>
        <w:rPr>
          <w:b/>
          <w:sz w:val="16"/>
          <w:szCs w:val="16"/>
        </w:rPr>
      </w:pPr>
      <w:r>
        <w:rPr>
          <w:rFonts w:hint="eastAsia"/>
          <w:b/>
          <w:sz w:val="26"/>
          <w:szCs w:val="26"/>
        </w:rPr>
        <w:t>八、本次审核不符合项</w:t>
      </w:r>
    </w:p>
    <w:p>
      <w:pPr>
        <w:spacing w:line="400" w:lineRule="exact"/>
        <w:ind w:left="420" w:leftChars="175" w:firstLine="101" w:firstLineChars="42"/>
        <w:rPr>
          <w:rFonts w:ascii="宋体" w:hAnsi="宋体"/>
          <w:b/>
          <w:szCs w:val="21"/>
        </w:rPr>
      </w:pPr>
      <w:r>
        <w:rPr>
          <w:rFonts w:hint="eastAsia" w:ascii="宋体" w:hAnsi="宋体"/>
          <w:b/>
          <w:szCs w:val="21"/>
        </w:rPr>
        <w:t>本次审核共开具不符合项报告项；其中</w:t>
      </w:r>
      <w:r>
        <w:rPr>
          <w:rFonts w:ascii="宋体" w:hAnsi="宋体"/>
          <w:b/>
          <w:szCs w:val="21"/>
        </w:rPr>
        <w:pict>
          <v:line id="直接连接符 1" o:spid="_x0000_s2051" o:spt="20" style="position:absolute;left:0pt;margin-left:210pt;margin-top:16.2pt;height:0pt;width:0.05pt;z-index:251658240;mso-width-relative:page;mso-height-relative:page;" coordsize="21600,21600" o:allowincell="f">
            <v:path arrowok="t"/>
            <v:fill focussize="0,0"/>
            <v:stroke/>
            <v:imagedata o:title=""/>
            <o:lock v:ext="edit"/>
          </v:line>
        </w:pict>
      </w:r>
      <w:r>
        <w:rPr>
          <w:rFonts w:hint="eastAsia" w:ascii="宋体" w:hAnsi="宋体"/>
          <w:b/>
          <w:szCs w:val="21"/>
        </w:rPr>
        <w:t>严重不符合项，一般不符合项，观察项项分布在部门条款，见不符合项分布表。（</w:t>
      </w:r>
      <w:r>
        <w:rPr>
          <w:rFonts w:ascii="宋体" w:hAnsi="宋体"/>
          <w:b/>
          <w:szCs w:val="21"/>
        </w:rPr>
        <w:t>Q/J/E/S</w:t>
      </w:r>
      <w:r>
        <w:rPr>
          <w:rFonts w:hint="eastAsia" w:ascii="宋体" w:hAnsi="宋体"/>
          <w:b/>
          <w:szCs w:val="21"/>
        </w:rPr>
        <w:t>分开填写）</w:t>
      </w:r>
    </w:p>
    <w:p>
      <w:pPr>
        <w:tabs>
          <w:tab w:val="left" w:pos="645"/>
        </w:tabs>
        <w:spacing w:after="163" w:afterLines="50" w:line="360" w:lineRule="exact"/>
        <w:rPr>
          <w:b/>
          <w:sz w:val="16"/>
          <w:szCs w:val="16"/>
        </w:rPr>
      </w:pPr>
      <w:r>
        <w:rPr>
          <w:rFonts w:hint="eastAsia"/>
          <w:b/>
          <w:sz w:val="26"/>
          <w:szCs w:val="26"/>
        </w:rPr>
        <w:t>九、审核结论</w:t>
      </w:r>
    </w:p>
    <w:tbl>
      <w:tblPr>
        <w:tblStyle w:val="7"/>
        <w:tblW w:w="9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3" w:hRule="atLeast"/>
          <w:jc w:val="center"/>
        </w:trPr>
        <w:tc>
          <w:tcPr>
            <w:tcW w:w="9523" w:type="dxa"/>
            <w:vAlign w:val="center"/>
          </w:tcPr>
          <w:p>
            <w:pPr>
              <w:ind w:left="240" w:leftChars="100" w:firstLine="120" w:firstLineChars="50"/>
              <w:jc w:val="left"/>
              <w:rPr>
                <w:rFonts w:ascii="宋体" w:hAnsi="宋体"/>
                <w:b/>
                <w:szCs w:val="21"/>
              </w:rPr>
            </w:pPr>
            <w:r>
              <w:rPr>
                <w:rFonts w:ascii="宋体" w:hAnsi="宋体"/>
                <w:b/>
                <w:szCs w:val="21"/>
              </w:rPr>
              <w:t>1.</w:t>
            </w:r>
            <w:r>
              <w:rPr>
                <w:rFonts w:hint="eastAsia" w:ascii="宋体" w:hAnsi="宋体"/>
                <w:b/>
                <w:szCs w:val="21"/>
                <w:lang w:eastAsia="zh-CN"/>
              </w:rPr>
              <w:t>☑</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rPr>
                <w:rFonts w:ascii="宋体" w:hAnsi="宋体"/>
                <w:b/>
                <w:szCs w:val="21"/>
              </w:rPr>
            </w:pPr>
            <w:r>
              <w:rPr>
                <w:rFonts w:hint="eastAsia" w:ascii="宋体" w:hAnsi="宋体"/>
                <w:b/>
                <w:szCs w:val="21"/>
              </w:rPr>
              <w:t>的适宜性、充分性、运行有效性，自我完善机制等，管理体系满足适用要求和实现预期结果的能力。</w:t>
            </w:r>
          </w:p>
          <w:p>
            <w:pPr>
              <w:spacing w:line="280" w:lineRule="exact"/>
              <w:ind w:left="331" w:leftChars="88" w:hanging="120" w:hangingChars="50"/>
              <w:rPr>
                <w:rFonts w:ascii="宋体" w:hAnsi="宋体"/>
                <w:b/>
                <w:szCs w:val="21"/>
              </w:rPr>
            </w:pPr>
            <w:r>
              <w:rPr>
                <w:rFonts w:ascii="宋体" w:hAnsi="宋体"/>
                <w:b/>
                <w:szCs w:val="21"/>
              </w:rPr>
              <w:t>(</w:t>
            </w:r>
            <w:r>
              <w:rPr>
                <w:rFonts w:hint="eastAsia" w:ascii="宋体" w:hAnsi="宋体"/>
                <w:b/>
                <w:szCs w:val="21"/>
              </w:rPr>
              <w:t>描述组织的管理体系在认证周期内持续对过程控制的情况，持续满足标准要求和目标方面的有效性，向顾客提供稳定、合格产品，满足适用的环境</w:t>
            </w:r>
            <w:r>
              <w:rPr>
                <w:rFonts w:ascii="宋体" w:hAnsi="宋体"/>
                <w:b/>
                <w:szCs w:val="21"/>
              </w:rPr>
              <w:t>/</w:t>
            </w:r>
            <w:r>
              <w:rPr>
                <w:rFonts w:hint="eastAsia" w:ascii="宋体" w:hAnsi="宋体"/>
                <w:b/>
                <w:szCs w:val="21"/>
              </w:rPr>
              <w:t>职业健康安全法规、防止污染、重大事故和持续改进而策划的活动的情况；扩大范围部分体系运行情况</w:t>
            </w:r>
            <w:r>
              <w:rPr>
                <w:rFonts w:ascii="宋体" w:hAnsi="宋体"/>
                <w:b/>
                <w:szCs w:val="21"/>
              </w:rPr>
              <w:t>)</w:t>
            </w:r>
          </w:p>
          <w:p>
            <w:pPr>
              <w:spacing w:line="280" w:lineRule="exact"/>
              <w:ind w:firstLine="241" w:firstLineChars="100"/>
              <w:rPr>
                <w:rFonts w:ascii="宋体" w:hAnsi="宋体"/>
                <w:b/>
                <w:szCs w:val="21"/>
              </w:rPr>
            </w:pPr>
          </w:p>
          <w:p>
            <w:pPr>
              <w:spacing w:line="360" w:lineRule="auto"/>
              <w:ind w:firstLine="210" w:firstLineChars="100"/>
              <w:rPr>
                <w:rFonts w:ascii="宋体" w:hAnsi="宋体"/>
                <w:b/>
                <w:szCs w:val="21"/>
              </w:rPr>
            </w:pPr>
            <w:r>
              <w:rPr>
                <w:rFonts w:hint="eastAsia" w:ascii="宋体" w:hAnsi="宋体" w:eastAsia="宋体" w:cs="宋体"/>
                <w:bCs/>
                <w:color w:val="000000"/>
                <w:sz w:val="21"/>
                <w:szCs w:val="21"/>
              </w:rPr>
              <w:t>组织体系运行满足标准要求，既定目标能达成，向顾客提供稳定、合格产品，满足适用的质量/环境/职业健康安全法规要求，防止环境污染和重大职业健康安全事故，对周边环境没有产生不利影响，实施措施基本有效。体系运行基本适宜、充分、有效，基本建立自我完善机制。</w:t>
            </w:r>
          </w:p>
          <w:p>
            <w:pPr>
              <w:spacing w:line="240" w:lineRule="exact"/>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523" w:type="dxa"/>
          </w:tcPr>
          <w:p>
            <w:pPr>
              <w:spacing w:line="280" w:lineRule="exact"/>
              <w:rPr>
                <w:rFonts w:ascii="宋体" w:hAnsi="宋体"/>
                <w:b/>
                <w:szCs w:val="21"/>
              </w:rPr>
            </w:pPr>
            <w:r>
              <w:rPr>
                <w:rFonts w:ascii="宋体" w:hAnsi="宋体"/>
                <w:b/>
                <w:szCs w:val="21"/>
              </w:rPr>
              <w:t xml:space="preserve">2. </w:t>
            </w:r>
            <w:r>
              <w:rPr>
                <w:rFonts w:hint="eastAsia" w:ascii="宋体" w:hAnsi="宋体"/>
                <w:b/>
                <w:szCs w:val="21"/>
              </w:rPr>
              <w:t>审核组推荐意见：</w:t>
            </w:r>
          </w:p>
          <w:p>
            <w:pPr>
              <w:spacing w:line="280" w:lineRule="exact"/>
              <w:ind w:firstLine="361" w:firstLineChars="150"/>
              <w:rPr>
                <w:rFonts w:ascii="宋体" w:hAnsi="宋体"/>
                <w:b/>
                <w:szCs w:val="21"/>
              </w:rPr>
            </w:pPr>
            <w:r>
              <w:rPr>
                <w:rFonts w:hint="eastAsia" w:ascii="宋体" w:hAnsi="宋体"/>
                <w:b/>
                <w:szCs w:val="21"/>
                <w:lang w:eastAsia="zh-CN"/>
              </w:rPr>
              <w:t>☑</w:t>
            </w:r>
            <w:r>
              <w:rPr>
                <w:rFonts w:hint="eastAsia" w:ascii="宋体" w:hAnsi="宋体"/>
                <w:b/>
                <w:szCs w:val="21"/>
              </w:rPr>
              <w:t>推荐保持（</w:t>
            </w:r>
            <w:r>
              <w:rPr>
                <w:rFonts w:hint="eastAsia" w:ascii="宋体" w:hAnsi="宋体"/>
                <w:b/>
                <w:szCs w:val="21"/>
                <w:lang w:eastAsia="zh-CN"/>
              </w:rPr>
              <w:t>☑</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rPr>
              <w:t>□</w:t>
            </w:r>
            <w:r>
              <w:rPr>
                <w:rFonts w:ascii="宋体" w:hAnsi="宋体"/>
                <w:b/>
                <w:szCs w:val="21"/>
              </w:rPr>
              <w:t>(</w:t>
            </w:r>
            <w:r>
              <w:rPr>
                <w:rFonts w:hint="eastAsia" w:ascii="宋体" w:hAnsi="宋体"/>
                <w:b/>
                <w:szCs w:val="21"/>
              </w:rPr>
              <w:t>在完成纠正措施后</w:t>
            </w:r>
            <w:r>
              <w:rPr>
                <w:rFonts w:ascii="宋体" w:hAnsi="宋体"/>
                <w:b/>
                <w:szCs w:val="21"/>
              </w:rPr>
              <w:t>)</w:t>
            </w:r>
            <w:r>
              <w:rPr>
                <w:rFonts w:hint="eastAsia" w:ascii="宋体" w:hAnsi="宋体"/>
                <w:b/>
                <w:szCs w:val="21"/>
              </w:rPr>
              <w:t>推荐保持（□</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rPr>
              <w:t>□延期推荐（□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□不推荐（□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延期推荐、不推荐或缩小认证范围的说明</w:t>
            </w:r>
            <w:r>
              <w:rPr>
                <w:rFonts w:ascii="宋体" w:hAnsi="宋体"/>
                <w:b/>
                <w:szCs w:val="21"/>
              </w:rPr>
              <w:t>:</w:t>
            </w:r>
          </w:p>
          <w:p>
            <w:pPr>
              <w:spacing w:line="280" w:lineRule="exact"/>
              <w:ind w:firstLine="361" w:firstLineChars="150"/>
              <w:rPr>
                <w:rFonts w:ascii="宋体" w:hAnsi="宋体"/>
                <w:b/>
                <w:szCs w:val="21"/>
              </w:rPr>
            </w:pPr>
          </w:p>
          <w:p>
            <w:pPr>
              <w:spacing w:line="280" w:lineRule="exact"/>
              <w:ind w:firstLine="361" w:firstLineChars="150"/>
              <w:rPr>
                <w:rFonts w:ascii="宋体" w:hAnsi="宋体"/>
                <w:b/>
                <w:szCs w:val="21"/>
              </w:rPr>
            </w:pPr>
          </w:p>
          <w:p>
            <w:pPr>
              <w:spacing w:line="280" w:lineRule="exact"/>
              <w:ind w:firstLine="392" w:firstLineChars="150"/>
              <w:rPr>
                <w:b/>
                <w:sz w:val="26"/>
                <w:szCs w:val="26"/>
              </w:rPr>
            </w:pPr>
          </w:p>
        </w:tc>
      </w:tr>
    </w:tbl>
    <w:p>
      <w:pPr>
        <w:snapToGrid w:val="0"/>
        <w:spacing w:line="240" w:lineRule="exact"/>
        <w:rPr>
          <w:b/>
          <w:sz w:val="21"/>
          <w:szCs w:val="21"/>
        </w:rPr>
      </w:pPr>
    </w:p>
    <w:p>
      <w:pPr>
        <w:tabs>
          <w:tab w:val="left" w:pos="645"/>
        </w:tabs>
        <w:spacing w:after="163" w:afterLines="50" w:line="360" w:lineRule="exact"/>
        <w:rPr>
          <w:b/>
          <w:sz w:val="16"/>
          <w:szCs w:val="16"/>
        </w:rPr>
      </w:pPr>
      <w:r>
        <w:rPr>
          <w:rFonts w:hint="eastAsia"/>
          <w:b/>
          <w:sz w:val="26"/>
          <w:szCs w:val="26"/>
        </w:rPr>
        <w:t>十、不符合项纠正措施要求</w:t>
      </w:r>
    </w:p>
    <w:p>
      <w:pPr>
        <w:spacing w:line="360" w:lineRule="exact"/>
        <w:ind w:left="528" w:leftChars="220"/>
        <w:rPr>
          <w:b/>
          <w:sz w:val="21"/>
        </w:rPr>
      </w:pPr>
      <w:r>
        <w:rPr>
          <w:rFonts w:hint="eastAsia"/>
          <w:b/>
          <w:sz w:val="21"/>
        </w:rPr>
        <w:t>根据相关规定，请组织对一般不符合报告在</w:t>
      </w:r>
      <w:r>
        <w:rPr>
          <w:b/>
          <w:sz w:val="21"/>
          <w:u w:val="single"/>
        </w:rPr>
        <w:t xml:space="preserve">  30   </w:t>
      </w:r>
      <w:r>
        <w:rPr>
          <w:rFonts w:hint="eastAsia"/>
          <w:b/>
          <w:sz w:val="21"/>
        </w:rPr>
        <w:t>天</w:t>
      </w:r>
      <w:r>
        <w:rPr>
          <w:b/>
          <w:sz w:val="21"/>
        </w:rPr>
        <w:t>/</w:t>
      </w:r>
      <w:r>
        <w:rPr>
          <w:rFonts w:hint="eastAsia"/>
          <w:b/>
          <w:sz w:val="21"/>
        </w:rPr>
        <w:t>严重不符合在天针对不符合原因制定并实施纠正措施。验证方式见不符合项报告。</w:t>
      </w:r>
    </w:p>
    <w:p>
      <w:pPr>
        <w:spacing w:before="163" w:beforeLines="50" w:after="163" w:afterLines="50"/>
        <w:ind w:left="-122" w:leftChars="-51" w:firstLine="120" w:firstLineChars="46"/>
        <w:rPr>
          <w:b/>
          <w:bCs/>
          <w:sz w:val="21"/>
          <w:szCs w:val="28"/>
        </w:rPr>
      </w:pPr>
      <w:r>
        <w:rPr>
          <w:rFonts w:hint="eastAsia"/>
          <w:b/>
          <w:sz w:val="26"/>
          <w:szCs w:val="26"/>
        </w:rPr>
        <w:t>十一、</w:t>
      </w:r>
      <w:r>
        <w:rPr>
          <w:rFonts w:hint="eastAsia" w:ascii="仿宋" w:hAnsi="仿宋" w:eastAsia="仿宋"/>
          <w:kern w:val="24"/>
          <w:sz w:val="28"/>
          <w:szCs w:val="28"/>
        </w:rPr>
        <w:t>任何影响审核方案的重要事项</w:t>
      </w:r>
      <w:r>
        <w:rPr>
          <w:rFonts w:hint="eastAsia"/>
          <w:b/>
          <w:sz w:val="26"/>
          <w:szCs w:val="26"/>
        </w:rPr>
        <w:t>：</w:t>
      </w:r>
    </w:p>
    <w:p>
      <w:pPr>
        <w:tabs>
          <w:tab w:val="left" w:pos="645"/>
        </w:tabs>
        <w:spacing w:after="163" w:afterLines="50" w:line="360" w:lineRule="exact"/>
        <w:rPr>
          <w:b/>
          <w:sz w:val="16"/>
          <w:szCs w:val="16"/>
        </w:rPr>
      </w:pPr>
      <w:r>
        <w:drawing>
          <wp:anchor distT="0" distB="0" distL="114300" distR="114300" simplePos="0" relativeHeight="251659264" behindDoc="0" locked="0" layoutInCell="1" allowOverlap="1">
            <wp:simplePos x="0" y="0"/>
            <wp:positionH relativeFrom="column">
              <wp:posOffset>1959610</wp:posOffset>
            </wp:positionH>
            <wp:positionV relativeFrom="paragraph">
              <wp:posOffset>240665</wp:posOffset>
            </wp:positionV>
            <wp:extent cx="321310" cy="254000"/>
            <wp:effectExtent l="0" t="0" r="889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321310" cy="254000"/>
                    </a:xfrm>
                    <a:prstGeom prst="rect">
                      <a:avLst/>
                    </a:prstGeom>
                    <a:noFill/>
                    <a:ln>
                      <a:noFill/>
                    </a:ln>
                  </pic:spPr>
                </pic:pic>
              </a:graphicData>
            </a:graphic>
          </wp:anchor>
        </w:drawing>
      </w:r>
      <w:r>
        <w:rPr>
          <w:rFonts w:hint="eastAsia"/>
          <w:b/>
          <w:sz w:val="26"/>
          <w:szCs w:val="26"/>
        </w:rPr>
        <w:t>十二、审核组签字</w:t>
      </w:r>
      <w:bookmarkStart w:id="27" w:name="_GoBack"/>
      <w:bookmarkEnd w:id="27"/>
    </w:p>
    <w:p>
      <w:pPr>
        <w:snapToGrid w:val="0"/>
        <w:spacing w:line="320" w:lineRule="exact"/>
        <w:ind w:firstLine="527" w:firstLineChars="250"/>
        <w:rPr>
          <w:b/>
          <w:sz w:val="21"/>
        </w:rPr>
      </w:pPr>
      <w:r>
        <w:rPr>
          <w:rFonts w:hint="eastAsia"/>
          <w:b/>
          <w:sz w:val="21"/>
        </w:rPr>
        <w:t>审核组组长（签名）：</w:t>
      </w:r>
    </w:p>
    <w:p>
      <w:pPr>
        <w:snapToGrid w:val="0"/>
        <w:spacing w:before="163" w:beforeLines="50" w:line="320" w:lineRule="exact"/>
        <w:ind w:firstLine="600" w:firstLineChars="250"/>
        <w:rPr>
          <w:rFonts w:hint="default" w:eastAsia="宋体"/>
          <w:b/>
          <w:sz w:val="21"/>
          <w:lang w:val="en-US" w:eastAsia="zh-CN"/>
        </w:rPr>
      </w:pPr>
      <w:r>
        <w:rPr>
          <w:rFonts w:hint="eastAsia"/>
          <w:vertAlign w:val="baseline"/>
          <w:lang w:val="en-US" w:eastAsia="zh-CN"/>
        </w:rPr>
        <w:drawing>
          <wp:anchor distT="0" distB="0" distL="114300" distR="114300" simplePos="0" relativeHeight="251661312" behindDoc="0" locked="0" layoutInCell="1" allowOverlap="1">
            <wp:simplePos x="0" y="0"/>
            <wp:positionH relativeFrom="column">
              <wp:posOffset>1804670</wp:posOffset>
            </wp:positionH>
            <wp:positionV relativeFrom="paragraph">
              <wp:posOffset>5715</wp:posOffset>
            </wp:positionV>
            <wp:extent cx="938530" cy="377190"/>
            <wp:effectExtent l="0" t="0" r="1270" b="3810"/>
            <wp:wrapNone/>
            <wp:docPr id="23" name="图片 23" descr="744b4094d0f26d1e18a7a8fdfb5185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744b4094d0f26d1e18a7a8fdfb5185b"/>
                    <pic:cNvPicPr>
                      <a:picLocks noChangeAspect="1"/>
                    </pic:cNvPicPr>
                  </pic:nvPicPr>
                  <pic:blipFill>
                    <a:blip r:embed="rId7"/>
                    <a:stretch>
                      <a:fillRect/>
                    </a:stretch>
                  </pic:blipFill>
                  <pic:spPr>
                    <a:xfrm>
                      <a:off x="0" y="0"/>
                      <a:ext cx="938530" cy="377190"/>
                    </a:xfrm>
                    <a:prstGeom prst="rect">
                      <a:avLst/>
                    </a:prstGeom>
                  </pic:spPr>
                </pic:pic>
              </a:graphicData>
            </a:graphic>
          </wp:anchor>
        </w:drawing>
      </w:r>
      <w:r>
        <w:rPr>
          <w:rFonts w:hint="eastAsia"/>
          <w:b/>
          <w:sz w:val="21"/>
        </w:rPr>
        <w:t>审核组组员（签名）：</w:t>
      </w:r>
      <w:r>
        <w:rPr>
          <w:rFonts w:hint="eastAsia"/>
          <w:b/>
          <w:sz w:val="21"/>
          <w:lang w:val="en-US" w:eastAsia="zh-CN"/>
        </w:rPr>
        <w:t xml:space="preserve">                                      </w:t>
      </w:r>
      <w:r>
        <w:rPr>
          <w:rFonts w:hint="eastAsia"/>
          <w:b/>
          <w:sz w:val="21"/>
        </w:rPr>
        <w:t>日期：</w:t>
      </w:r>
      <w:r>
        <w:rPr>
          <w:rFonts w:hint="eastAsia"/>
          <w:b/>
          <w:sz w:val="21"/>
          <w:lang w:val="en-US" w:eastAsia="zh-CN"/>
        </w:rPr>
        <w:t>2020.9.7</w:t>
      </w:r>
    </w:p>
    <w:p>
      <w:pPr>
        <w:snapToGrid w:val="0"/>
        <w:spacing w:line="200" w:lineRule="exact"/>
        <w:ind w:firstLine="482" w:firstLineChars="300"/>
        <w:rPr>
          <w:b/>
          <w:sz w:val="16"/>
          <w:szCs w:val="16"/>
        </w:rPr>
      </w:pPr>
    </w:p>
    <w:p>
      <w:pPr>
        <w:tabs>
          <w:tab w:val="left" w:pos="645"/>
        </w:tabs>
        <w:spacing w:after="163" w:afterLines="50" w:line="360" w:lineRule="exact"/>
        <w:rPr>
          <w:b/>
          <w:bCs/>
          <w:sz w:val="16"/>
          <w:szCs w:val="16"/>
        </w:rPr>
      </w:pPr>
      <w:r>
        <w:rPr>
          <w:rFonts w:hint="eastAsia"/>
          <w:b/>
          <w:sz w:val="26"/>
          <w:szCs w:val="26"/>
        </w:rPr>
        <w:t>十三、纠正措施验证及结论</w:t>
      </w:r>
      <w:r>
        <w:rPr>
          <w:rFonts w:hint="eastAsia"/>
          <w:b/>
          <w:bCs/>
          <w:sz w:val="16"/>
          <w:szCs w:val="16"/>
        </w:rPr>
        <w:t>：</w:t>
      </w:r>
    </w:p>
    <w:p>
      <w:pPr>
        <w:spacing w:line="360" w:lineRule="exact"/>
        <w:rPr>
          <w:b/>
          <w:bCs/>
          <w:sz w:val="21"/>
          <w:szCs w:val="21"/>
        </w:rPr>
      </w:pPr>
      <w:r>
        <w:rPr>
          <w:b/>
          <w:bCs/>
          <w:sz w:val="21"/>
          <w:szCs w:val="21"/>
        </w:rPr>
        <w:t>1.</w:t>
      </w:r>
      <w:r>
        <w:rPr>
          <w:rFonts w:hint="eastAsia"/>
          <w:b/>
          <w:bCs/>
          <w:sz w:val="21"/>
          <w:szCs w:val="21"/>
        </w:rPr>
        <w:t>审核中发现的</w:t>
      </w:r>
      <w:r>
        <w:rPr>
          <w:rFonts w:hint="eastAsia"/>
          <w:b/>
          <w:sz w:val="21"/>
          <w:szCs w:val="21"/>
          <w:lang w:eastAsia="zh-CN"/>
        </w:rPr>
        <w:t>□</w:t>
      </w:r>
      <w:r>
        <w:rPr>
          <w:b/>
          <w:sz w:val="21"/>
          <w:szCs w:val="21"/>
        </w:rPr>
        <w:t>QMS ()</w:t>
      </w:r>
      <w:r>
        <w:rPr>
          <w:rFonts w:hint="eastAsia"/>
          <w:b/>
          <w:sz w:val="21"/>
          <w:szCs w:val="21"/>
        </w:rPr>
        <w:t>个一般不符合，</w:t>
      </w:r>
      <w:r>
        <w:rPr>
          <w:b/>
          <w:sz w:val="21"/>
          <w:szCs w:val="21"/>
        </w:rPr>
        <w:t>()</w:t>
      </w:r>
      <w:r>
        <w:rPr>
          <w:rFonts w:hint="eastAsia"/>
          <w:b/>
          <w:sz w:val="21"/>
          <w:szCs w:val="21"/>
        </w:rPr>
        <w:t>个严重不符合，□验证合格□仍有问题</w:t>
      </w:r>
    </w:p>
    <w:p>
      <w:pPr>
        <w:spacing w:line="360" w:lineRule="exact"/>
        <w:ind w:firstLine="843" w:firstLineChars="400"/>
        <w:rPr>
          <w:b/>
          <w:bCs/>
          <w:sz w:val="21"/>
          <w:szCs w:val="21"/>
        </w:rPr>
      </w:pPr>
      <w:r>
        <w:rPr>
          <w:rFonts w:hint="eastAsia"/>
          <w:b/>
          <w:bCs/>
          <w:sz w:val="21"/>
          <w:szCs w:val="21"/>
        </w:rPr>
        <w:t>审核中发现的□50430 (    )个一般不符合，(    )个严重不符合，□验证合格□仍有问题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rPr>
        <w:t>□</w:t>
      </w:r>
      <w:r>
        <w:rPr>
          <w:b/>
          <w:sz w:val="21"/>
          <w:szCs w:val="21"/>
        </w:rPr>
        <w:t>EMS ()</w:t>
      </w:r>
      <w:r>
        <w:rPr>
          <w:rFonts w:hint="eastAsia"/>
          <w:b/>
          <w:sz w:val="21"/>
          <w:szCs w:val="21"/>
        </w:rPr>
        <w:t>个一般不符合，</w:t>
      </w:r>
      <w:r>
        <w:rPr>
          <w:b/>
          <w:sz w:val="21"/>
          <w:szCs w:val="21"/>
        </w:rPr>
        <w:t>( )</w:t>
      </w:r>
      <w:r>
        <w:rPr>
          <w:rFonts w:hint="eastAsia"/>
          <w:b/>
          <w:sz w:val="21"/>
          <w:szCs w:val="21"/>
        </w:rPr>
        <w:t>个严重不符合，□验证合格□仍有问题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rPr>
        <w:t>□</w:t>
      </w:r>
      <w:r>
        <w:rPr>
          <w:b/>
          <w:sz w:val="21"/>
          <w:szCs w:val="21"/>
        </w:rPr>
        <w:t>OHSMS (    )</w:t>
      </w:r>
      <w:r>
        <w:rPr>
          <w:rFonts w:hint="eastAsia"/>
          <w:b/>
          <w:sz w:val="21"/>
          <w:szCs w:val="21"/>
        </w:rPr>
        <w:t>个一般不符合，</w:t>
      </w:r>
      <w:r>
        <w:rPr>
          <w:b/>
          <w:sz w:val="21"/>
          <w:szCs w:val="21"/>
        </w:rPr>
        <w:t>(    )</w:t>
      </w:r>
      <w:r>
        <w:rPr>
          <w:rFonts w:hint="eastAsia"/>
          <w:b/>
          <w:sz w:val="21"/>
          <w:szCs w:val="21"/>
        </w:rPr>
        <w:t>个严重不符合，□验证合格□仍有问题</w:t>
      </w:r>
      <w:r>
        <w:rPr>
          <w:rFonts w:hint="eastAsia"/>
          <w:b/>
          <w:bCs/>
          <w:sz w:val="21"/>
          <w:szCs w:val="21"/>
        </w:rPr>
        <w:t>审</w:t>
      </w:r>
    </w:p>
    <w:p>
      <w:pPr>
        <w:spacing w:line="360" w:lineRule="exact"/>
        <w:ind w:firstLine="843" w:firstLineChars="400"/>
        <w:rPr>
          <w:b/>
          <w:sz w:val="21"/>
          <w:szCs w:val="21"/>
        </w:rPr>
      </w:pPr>
    </w:p>
    <w:p>
      <w:pPr>
        <w:spacing w:before="163" w:beforeLines="50" w:line="400" w:lineRule="exact"/>
        <w:rPr>
          <w:b/>
          <w:sz w:val="21"/>
          <w:szCs w:val="21"/>
          <w:u w:val="single"/>
        </w:rPr>
      </w:pPr>
      <w:r>
        <w:rPr>
          <w:rFonts w:hint="eastAsia"/>
          <w:b/>
          <w:sz w:val="21"/>
          <w:szCs w:val="21"/>
        </w:rPr>
        <w:t>存在问题说明及意见：</w:t>
      </w:r>
    </w:p>
    <w:p>
      <w:pPr>
        <w:spacing w:line="400" w:lineRule="exact"/>
        <w:rPr>
          <w:b/>
          <w:sz w:val="21"/>
          <w:szCs w:val="21"/>
          <w:u w:val="single"/>
        </w:rPr>
      </w:pPr>
    </w:p>
    <w:p>
      <w:pPr>
        <w:spacing w:before="163" w:beforeLines="50"/>
        <w:ind w:firstLine="632" w:firstLineChars="300"/>
        <w:rPr>
          <w:b/>
          <w:sz w:val="21"/>
          <w:szCs w:val="21"/>
        </w:rPr>
      </w:pPr>
      <w:r>
        <w:rPr>
          <w:b/>
          <w:sz w:val="21"/>
          <w:szCs w:val="21"/>
        </w:rPr>
        <w:t>2.</w:t>
      </w:r>
      <w:r>
        <w:rPr>
          <w:rFonts w:hint="eastAsia"/>
          <w:b/>
          <w:sz w:val="21"/>
          <w:szCs w:val="21"/>
        </w:rPr>
        <w:t>验证结论：</w:t>
      </w:r>
    </w:p>
    <w:p>
      <w:pPr>
        <w:tabs>
          <w:tab w:val="left" w:pos="6880"/>
          <w:tab w:val="left" w:pos="7740"/>
          <w:tab w:val="left" w:pos="8385"/>
        </w:tabs>
        <w:snapToGrid w:val="0"/>
        <w:spacing w:before="163" w:beforeLines="50"/>
        <w:ind w:firstLine="2099" w:firstLineChars="1100"/>
        <w:rPr>
          <w:b/>
          <w:sz w:val="21"/>
          <w:szCs w:val="21"/>
        </w:rPr>
      </w:pPr>
      <w:r>
        <w:rPr>
          <w:rFonts w:hint="eastAsia"/>
          <w:b/>
          <w:spacing w:val="-10"/>
          <w:sz w:val="21"/>
          <w:szCs w:val="21"/>
          <w:lang w:eastAsia="zh-CN"/>
        </w:rPr>
        <w:t>☑</w:t>
      </w:r>
      <w:r>
        <w:rPr>
          <w:rFonts w:hint="eastAsia"/>
          <w:b/>
          <w:sz w:val="21"/>
          <w:szCs w:val="21"/>
        </w:rPr>
        <w:t>同意保持注册</w:t>
      </w:r>
      <w:r>
        <w:rPr>
          <w:rFonts w:hint="eastAsia"/>
          <w:b/>
          <w:spacing w:val="-10"/>
          <w:sz w:val="21"/>
          <w:szCs w:val="21"/>
        </w:rPr>
        <w:t>□</w:t>
      </w:r>
      <w:r>
        <w:rPr>
          <w:rFonts w:hint="eastAsia"/>
          <w:b/>
          <w:sz w:val="21"/>
          <w:szCs w:val="21"/>
        </w:rPr>
        <w:t>不同意保持注册</w:t>
      </w:r>
    </w:p>
    <w:p>
      <w:pPr>
        <w:tabs>
          <w:tab w:val="left" w:pos="6880"/>
          <w:tab w:val="left" w:pos="7740"/>
          <w:tab w:val="left" w:pos="8385"/>
        </w:tabs>
        <w:snapToGrid w:val="0"/>
        <w:spacing w:before="163" w:beforeLines="50"/>
        <w:ind w:firstLine="823" w:firstLineChars="343"/>
        <w:rPr>
          <w:rFonts w:hint="default" w:eastAsia="宋体"/>
          <w:b/>
          <w:sz w:val="21"/>
          <w:szCs w:val="21"/>
          <w:u w:val="single"/>
          <w:lang w:val="en-US" w:eastAsia="zh-CN"/>
        </w:rPr>
      </w:pPr>
      <w:r>
        <w:drawing>
          <wp:anchor distT="0" distB="0" distL="114300" distR="114300" simplePos="0" relativeHeight="251660288" behindDoc="0" locked="0" layoutInCell="1" allowOverlap="1">
            <wp:simplePos x="0" y="0"/>
            <wp:positionH relativeFrom="column">
              <wp:posOffset>1280160</wp:posOffset>
            </wp:positionH>
            <wp:positionV relativeFrom="paragraph">
              <wp:posOffset>52705</wp:posOffset>
            </wp:positionV>
            <wp:extent cx="327660" cy="259080"/>
            <wp:effectExtent l="0" t="0" r="2540" b="762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a:stretch>
                      <a:fillRect/>
                    </a:stretch>
                  </pic:blipFill>
                  <pic:spPr>
                    <a:xfrm>
                      <a:off x="0" y="0"/>
                      <a:ext cx="327660" cy="259080"/>
                    </a:xfrm>
                    <a:prstGeom prst="rect">
                      <a:avLst/>
                    </a:prstGeom>
                    <a:noFill/>
                    <a:ln>
                      <a:noFill/>
                    </a:ln>
                  </pic:spPr>
                </pic:pic>
              </a:graphicData>
            </a:graphic>
          </wp:anchor>
        </w:drawing>
      </w:r>
      <w:r>
        <w:rPr>
          <w:rFonts w:hint="eastAsia"/>
          <w:b/>
          <w:sz w:val="21"/>
          <w:szCs w:val="21"/>
        </w:rPr>
        <w:t>组长签字：</w:t>
      </w:r>
      <w:r>
        <w:rPr>
          <w:rFonts w:hint="eastAsia"/>
          <w:b/>
          <w:sz w:val="21"/>
          <w:szCs w:val="21"/>
          <w:lang w:val="en-US" w:eastAsia="zh-CN"/>
        </w:rPr>
        <w:t xml:space="preserve">                  2020.8.9</w:t>
      </w:r>
    </w:p>
    <w:p>
      <w:pPr>
        <w:ind w:left="783" w:hanging="783" w:hangingChars="300"/>
        <w:rPr>
          <w:b/>
          <w:sz w:val="21"/>
          <w:u w:val="single"/>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pPr>
        <w:spacing w:line="360" w:lineRule="auto"/>
        <w:rPr>
          <w:b/>
          <w:sz w:val="26"/>
          <w:szCs w:val="26"/>
        </w:rPr>
      </w:pPr>
      <w:r>
        <w:rPr>
          <w:rFonts w:hint="eastAsia"/>
          <w:b/>
          <w:sz w:val="26"/>
          <w:szCs w:val="26"/>
        </w:rPr>
        <w:t>十五、认证评定与批准</w:t>
      </w:r>
    </w:p>
    <w:p>
      <w:pPr>
        <w:numPr>
          <w:ilvl w:val="0"/>
          <w:numId w:val="8"/>
        </w:numPr>
        <w:spacing w:line="360" w:lineRule="auto"/>
        <w:rPr>
          <w:b/>
          <w:szCs w:val="24"/>
        </w:rPr>
      </w:pPr>
      <w:r>
        <w:rPr>
          <w:rFonts w:hint="eastAsia"/>
          <w:b/>
          <w:szCs w:val="24"/>
        </w:rPr>
        <w:t>技术委员会评定结论：</w:t>
      </w:r>
      <w:r>
        <w:rPr>
          <w:rFonts w:hint="eastAsia"/>
          <w:b/>
          <w:sz w:val="21"/>
          <w:szCs w:val="21"/>
        </w:rPr>
        <w:t>□</w:t>
      </w:r>
      <w:r>
        <w:rPr>
          <w:rFonts w:hint="eastAsia"/>
          <w:b/>
          <w:sz w:val="21"/>
        </w:rPr>
        <w:t>同意审核组意见</w:t>
      </w:r>
      <w:r>
        <w:rPr>
          <w:rFonts w:hint="eastAsia"/>
          <w:b/>
          <w:sz w:val="21"/>
          <w:szCs w:val="21"/>
        </w:rPr>
        <w:t>□</w:t>
      </w:r>
      <w:r>
        <w:rPr>
          <w:rFonts w:hint="eastAsia"/>
          <w:b/>
          <w:sz w:val="21"/>
        </w:rPr>
        <w:t>不同意审核组意见</w:t>
      </w:r>
    </w:p>
    <w:p>
      <w:pPr>
        <w:spacing w:line="360" w:lineRule="auto"/>
        <w:ind w:left="600"/>
        <w:rPr>
          <w:b/>
          <w:szCs w:val="24"/>
        </w:rPr>
      </w:pPr>
      <w:r>
        <w:rPr>
          <w:rFonts w:hint="eastAsia"/>
          <w:b/>
          <w:szCs w:val="24"/>
        </w:rPr>
        <w:t>认证评定负责人：</w:t>
      </w:r>
      <w:r>
        <w:rPr>
          <w:rFonts w:hint="eastAsia"/>
          <w:b/>
          <w:szCs w:val="24"/>
          <w:lang w:val="en-US" w:eastAsia="zh-CN"/>
        </w:rPr>
        <w:t xml:space="preserve">              </w:t>
      </w:r>
      <w:r>
        <w:rPr>
          <w:rFonts w:hint="eastAsia"/>
          <w:b/>
          <w:szCs w:val="24"/>
        </w:rPr>
        <w:t>日期</w:t>
      </w:r>
      <w:r>
        <w:rPr>
          <w:rFonts w:hint="eastAsia"/>
          <w:b/>
          <w:szCs w:val="24"/>
          <w:lang w:val="en-US" w:eastAsia="zh-CN"/>
        </w:rPr>
        <w:t xml:space="preserve"> </w:t>
      </w:r>
      <w:r>
        <w:rPr>
          <w:rFonts w:hint="eastAsia"/>
          <w:b/>
          <w:szCs w:val="24"/>
        </w:rPr>
        <w:t>：</w:t>
      </w:r>
      <w:r>
        <w:rPr>
          <w:rFonts w:hint="eastAsia"/>
          <w:b/>
          <w:szCs w:val="24"/>
          <w:lang w:val="en-US" w:eastAsia="zh-CN"/>
        </w:rPr>
        <w:t xml:space="preserve">    </w:t>
      </w:r>
      <w:r>
        <w:rPr>
          <w:rFonts w:hint="eastAsia"/>
          <w:b/>
          <w:szCs w:val="24"/>
        </w:rPr>
        <w:t>年</w:t>
      </w:r>
      <w:r>
        <w:rPr>
          <w:rFonts w:hint="eastAsia"/>
          <w:b/>
          <w:szCs w:val="24"/>
          <w:lang w:val="en-US" w:eastAsia="zh-CN"/>
        </w:rPr>
        <w:t xml:space="preserve">   </w:t>
      </w:r>
      <w:r>
        <w:rPr>
          <w:rFonts w:hint="eastAsia"/>
          <w:b/>
          <w:szCs w:val="24"/>
        </w:rPr>
        <w:t>月</w:t>
      </w:r>
      <w:r>
        <w:rPr>
          <w:rFonts w:hint="eastAsia"/>
          <w:b/>
          <w:szCs w:val="24"/>
          <w:lang w:val="en-US" w:eastAsia="zh-CN"/>
        </w:rPr>
        <w:t xml:space="preserve">   </w:t>
      </w:r>
      <w:r>
        <w:rPr>
          <w:rFonts w:hint="eastAsia"/>
          <w:b/>
          <w:szCs w:val="24"/>
        </w:rPr>
        <w:t>日</w:t>
      </w:r>
    </w:p>
    <w:p>
      <w:pPr>
        <w:numPr>
          <w:ilvl w:val="0"/>
          <w:numId w:val="8"/>
        </w:numPr>
        <w:spacing w:line="360" w:lineRule="auto"/>
        <w:rPr>
          <w:b/>
          <w:szCs w:val="24"/>
        </w:rPr>
      </w:pPr>
      <w:r>
        <w:rPr>
          <w:rFonts w:hint="eastAsia"/>
          <w:b/>
          <w:szCs w:val="24"/>
        </w:rPr>
        <w:t>批准结论：</w:t>
      </w:r>
      <w:r>
        <w:rPr>
          <w:rFonts w:hint="eastAsia"/>
          <w:b/>
          <w:sz w:val="21"/>
          <w:szCs w:val="21"/>
        </w:rPr>
        <w:t>□</w:t>
      </w:r>
      <w:r>
        <w:rPr>
          <w:rFonts w:hint="eastAsia"/>
          <w:b/>
          <w:sz w:val="21"/>
        </w:rPr>
        <w:t>同意评定结论</w:t>
      </w:r>
      <w:r>
        <w:rPr>
          <w:rFonts w:hint="eastAsia"/>
          <w:b/>
          <w:sz w:val="21"/>
          <w:szCs w:val="21"/>
        </w:rPr>
        <w:t>□</w:t>
      </w:r>
      <w:r>
        <w:rPr>
          <w:rFonts w:hint="eastAsia"/>
          <w:b/>
          <w:sz w:val="21"/>
        </w:rPr>
        <w:t>不同意评定结论</w:t>
      </w:r>
    </w:p>
    <w:p>
      <w:pPr>
        <w:spacing w:line="360" w:lineRule="auto"/>
        <w:ind w:left="600"/>
        <w:rPr>
          <w:b/>
          <w:szCs w:val="24"/>
        </w:rPr>
      </w:pPr>
      <w:r>
        <w:rPr>
          <w:rFonts w:hint="eastAsia"/>
          <w:b/>
          <w:szCs w:val="24"/>
        </w:rPr>
        <w:t>批准人（总经理）：</w:t>
      </w:r>
      <w:r>
        <w:rPr>
          <w:rFonts w:hint="eastAsia"/>
          <w:b/>
          <w:szCs w:val="24"/>
          <w:lang w:val="en-US" w:eastAsia="zh-CN"/>
        </w:rPr>
        <w:t xml:space="preserve">             </w:t>
      </w:r>
      <w:r>
        <w:rPr>
          <w:rFonts w:hint="eastAsia"/>
          <w:b/>
          <w:szCs w:val="24"/>
        </w:rPr>
        <w:t>日期：</w:t>
      </w:r>
      <w:r>
        <w:rPr>
          <w:rFonts w:hint="eastAsia"/>
          <w:b/>
          <w:szCs w:val="24"/>
          <w:lang w:val="en-US" w:eastAsia="zh-CN"/>
        </w:rPr>
        <w:t xml:space="preserve">     </w:t>
      </w:r>
      <w:r>
        <w:rPr>
          <w:rFonts w:hint="eastAsia"/>
          <w:b/>
          <w:szCs w:val="24"/>
        </w:rPr>
        <w:t>年</w:t>
      </w:r>
      <w:r>
        <w:rPr>
          <w:rFonts w:hint="eastAsia"/>
          <w:b/>
          <w:szCs w:val="24"/>
          <w:lang w:val="en-US" w:eastAsia="zh-CN"/>
        </w:rPr>
        <w:t xml:space="preserve">   </w:t>
      </w:r>
      <w:r>
        <w:rPr>
          <w:rFonts w:hint="eastAsia"/>
          <w:b/>
          <w:szCs w:val="24"/>
        </w:rPr>
        <w:t>月</w:t>
      </w:r>
      <w:r>
        <w:rPr>
          <w:rFonts w:hint="eastAsia"/>
          <w:b/>
          <w:szCs w:val="24"/>
          <w:lang w:val="en-US" w:eastAsia="zh-CN"/>
        </w:rPr>
        <w:t xml:space="preserve">    </w:t>
      </w:r>
      <w:r>
        <w:rPr>
          <w:rFonts w:hint="eastAsia"/>
          <w:b/>
          <w:szCs w:val="24"/>
        </w:rPr>
        <w:t>日</w:t>
      </w:r>
    </w:p>
    <w:p>
      <w:pPr>
        <w:snapToGrid w:val="0"/>
        <w:spacing w:before="163" w:beforeLines="50" w:after="163" w:afterLines="50" w:line="360" w:lineRule="exact"/>
        <w:rPr>
          <w:b/>
          <w:sz w:val="26"/>
          <w:szCs w:val="26"/>
        </w:rPr>
      </w:pPr>
      <w:r>
        <w:rPr>
          <w:rFonts w:hint="eastAsia"/>
          <w:b/>
          <w:sz w:val="26"/>
          <w:szCs w:val="26"/>
        </w:rPr>
        <w:t>十六、审核报告的发放范围：</w:t>
      </w:r>
    </w:p>
    <w:p>
      <w:pPr>
        <w:snapToGrid w:val="0"/>
        <w:spacing w:line="320" w:lineRule="exact"/>
        <w:ind w:firstLine="316" w:firstLineChars="150"/>
        <w:rPr>
          <w:b/>
          <w:sz w:val="21"/>
        </w:rPr>
      </w:pPr>
      <w:r>
        <w:rPr>
          <w:rFonts w:hint="eastAsia"/>
          <w:b/>
          <w:sz w:val="21"/>
        </w:rPr>
        <w:t>受审核方（含附件）</w:t>
      </w:r>
      <w:r>
        <w:rPr>
          <w:b/>
          <w:sz w:val="21"/>
        </w:rPr>
        <w:t xml:space="preserve">                    1</w:t>
      </w:r>
      <w:r>
        <w:rPr>
          <w:rFonts w:hint="eastAsia"/>
          <w:b/>
          <w:sz w:val="21"/>
        </w:rPr>
        <w:t>份</w:t>
      </w:r>
    </w:p>
    <w:p>
      <w:pPr>
        <w:snapToGrid w:val="0"/>
        <w:spacing w:line="320" w:lineRule="exact"/>
        <w:ind w:firstLine="316" w:firstLineChars="150"/>
        <w:rPr>
          <w:b/>
          <w:sz w:val="21"/>
        </w:rPr>
      </w:pPr>
      <w:r>
        <w:rPr>
          <w:rFonts w:hint="eastAsia"/>
          <w:b/>
          <w:sz w:val="21"/>
        </w:rPr>
        <w:t>北京国标联合认证有限公司</w:t>
      </w:r>
      <w:r>
        <w:rPr>
          <w:b/>
          <w:sz w:val="21"/>
        </w:rPr>
        <w:t>1</w:t>
      </w:r>
      <w:r>
        <w:rPr>
          <w:rFonts w:hint="eastAsia"/>
          <w:b/>
          <w:sz w:val="21"/>
        </w:rPr>
        <w:t>份</w:t>
      </w:r>
    </w:p>
    <w:p>
      <w:pPr>
        <w:snapToGrid w:val="0"/>
        <w:spacing w:before="163" w:beforeLines="50" w:after="163" w:afterLines="50" w:line="360" w:lineRule="exact"/>
        <w:rPr>
          <w:rFonts w:ascii="宋体"/>
          <w:b/>
          <w:sz w:val="16"/>
          <w:szCs w:val="16"/>
        </w:rPr>
      </w:pPr>
      <w:r>
        <w:rPr>
          <w:rFonts w:hint="eastAsia"/>
          <w:b/>
          <w:sz w:val="26"/>
          <w:szCs w:val="26"/>
        </w:rPr>
        <w:t>十七、</w:t>
      </w:r>
      <w:r>
        <w:rPr>
          <w:rFonts w:hint="eastAsia" w:ascii="宋体" w:hAnsi="宋体"/>
          <w:b/>
          <w:sz w:val="26"/>
          <w:szCs w:val="26"/>
        </w:rPr>
        <w:t>附件</w:t>
      </w:r>
    </w:p>
    <w:p>
      <w:pPr>
        <w:snapToGrid w:val="0"/>
        <w:spacing w:line="320" w:lineRule="exact"/>
        <w:rPr>
          <w:rFonts w:ascii="宋体"/>
          <w:b/>
          <w:bCs/>
          <w:sz w:val="21"/>
          <w:szCs w:val="28"/>
        </w:rPr>
      </w:pPr>
      <w:r>
        <w:rPr>
          <w:b/>
          <w:bCs/>
          <w:sz w:val="21"/>
          <w:szCs w:val="28"/>
        </w:rPr>
        <w:t xml:space="preserve">1. </w:t>
      </w:r>
      <w:r>
        <w:rPr>
          <w:rFonts w:hint="eastAsia" w:ascii="宋体" w:hAnsi="宋体"/>
          <w:b/>
          <w:bCs/>
          <w:sz w:val="21"/>
          <w:szCs w:val="28"/>
        </w:rPr>
        <w:t>审核计划（含项目清单）</w:t>
      </w:r>
    </w:p>
    <w:p>
      <w:pPr>
        <w:snapToGrid w:val="0"/>
        <w:spacing w:line="320" w:lineRule="exact"/>
        <w:rPr>
          <w:rFonts w:ascii="宋体"/>
          <w:b/>
          <w:bCs/>
          <w:sz w:val="18"/>
          <w:szCs w:val="18"/>
        </w:rPr>
      </w:pPr>
      <w:r>
        <w:rPr>
          <w:b/>
          <w:bCs/>
          <w:sz w:val="21"/>
          <w:szCs w:val="28"/>
        </w:rPr>
        <w:t>2.</w:t>
      </w:r>
      <w:r>
        <w:rPr>
          <w:rFonts w:hint="eastAsia" w:ascii="宋体" w:hAnsi="宋体"/>
          <w:b/>
          <w:bCs/>
          <w:sz w:val="21"/>
          <w:szCs w:val="28"/>
        </w:rPr>
        <w:t>不符合报告</w:t>
      </w:r>
      <w:r>
        <w:rPr>
          <w:rFonts w:ascii="宋体" w:hAnsi="宋体"/>
          <w:b/>
          <w:bCs/>
          <w:sz w:val="21"/>
          <w:szCs w:val="28"/>
        </w:rPr>
        <w:t>/</w:t>
      </w:r>
      <w:r>
        <w:rPr>
          <w:rFonts w:hint="eastAsia" w:ascii="宋体" w:hAnsi="宋体"/>
          <w:b/>
          <w:bCs/>
          <w:sz w:val="21"/>
          <w:szCs w:val="28"/>
        </w:rPr>
        <w:t>问题清单</w:t>
      </w:r>
    </w:p>
    <w:p>
      <w:pPr>
        <w:spacing w:line="320" w:lineRule="exact"/>
        <w:rPr>
          <w:b/>
          <w:bCs/>
          <w:sz w:val="16"/>
          <w:szCs w:val="16"/>
        </w:rPr>
      </w:pPr>
      <w:r>
        <w:rPr>
          <w:b/>
          <w:bCs/>
          <w:sz w:val="21"/>
          <w:szCs w:val="28"/>
        </w:rPr>
        <w:t>3.</w:t>
      </w:r>
      <w:r>
        <w:rPr>
          <w:rFonts w:hint="eastAsia" w:ascii="宋体" w:hAnsi="宋体"/>
          <w:b/>
          <w:bCs/>
          <w:sz w:val="21"/>
          <w:szCs w:val="28"/>
        </w:rPr>
        <w:t>其他</w:t>
      </w:r>
    </w:p>
    <w:p>
      <w:pPr>
        <w:spacing w:before="163" w:beforeLines="50" w:after="163" w:afterLines="50" w:line="360" w:lineRule="exact"/>
        <w:rPr>
          <w:rFonts w:ascii="宋体"/>
          <w:b/>
          <w:sz w:val="26"/>
          <w:szCs w:val="26"/>
        </w:rPr>
      </w:pPr>
      <w:r>
        <w:rPr>
          <w:rFonts w:hint="eastAsia" w:ascii="宋体" w:hAnsi="宋体"/>
          <w:b/>
          <w:sz w:val="26"/>
          <w:szCs w:val="26"/>
        </w:rPr>
        <w:t>十八、填表说明：</w:t>
      </w:r>
    </w:p>
    <w:p>
      <w:pPr>
        <w:spacing w:line="320" w:lineRule="exact"/>
        <w:ind w:left="316" w:hanging="316" w:hangingChars="150"/>
        <w:rPr>
          <w:b/>
          <w:bCs/>
          <w:sz w:val="21"/>
        </w:rPr>
      </w:pPr>
      <w:r>
        <w:rPr>
          <w:b/>
          <w:bCs/>
          <w:sz w:val="21"/>
        </w:rPr>
        <w:t xml:space="preserve">1. </w:t>
      </w:r>
      <w:r>
        <w:rPr>
          <w:rFonts w:hint="eastAsia"/>
          <w:b/>
          <w:bCs/>
          <w:sz w:val="21"/>
        </w:rPr>
        <w:t>本审核报告适用于单体系审核，也适用于多体系结合审核情况；</w:t>
      </w:r>
    </w:p>
    <w:p>
      <w:pPr>
        <w:spacing w:line="320" w:lineRule="exact"/>
        <w:ind w:left="316" w:hanging="316" w:hangingChars="150"/>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，50430</w:t>
      </w:r>
      <w:r>
        <w:rPr>
          <w:b/>
          <w:sz w:val="21"/>
        </w:rPr>
        <w:t>,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pPr>
        <w:spacing w:line="320" w:lineRule="exact"/>
        <w:ind w:left="215" w:hanging="215" w:hangingChars="102"/>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pPr>
        <w:spacing w:line="320" w:lineRule="exact"/>
        <w:ind w:left="316" w:hanging="316" w:hangingChars="150"/>
        <w:rPr>
          <w:b/>
          <w:sz w:val="21"/>
        </w:rPr>
      </w:pPr>
      <w:r>
        <w:rPr>
          <w:b/>
          <w:sz w:val="21"/>
        </w:rPr>
        <w:t xml:space="preserve">4. </w:t>
      </w:r>
      <w:r>
        <w:rPr>
          <w:rFonts w:hint="eastAsia"/>
          <w:b/>
          <w:sz w:val="21"/>
        </w:rPr>
        <w:t>公正性声明和审核报告签字处需本人亲笔签名。</w:t>
      </w:r>
    </w:p>
    <w:p>
      <w:pPr>
        <w:snapToGrid w:val="0"/>
        <w:jc w:val="left"/>
        <w:rPr>
          <w:b/>
          <w:sz w:val="21"/>
          <w:szCs w:val="21"/>
        </w:rPr>
      </w:pPr>
    </w:p>
    <w:p>
      <w:pPr>
        <w:snapToGrid w:val="0"/>
        <w:jc w:val="left"/>
        <w:rPr>
          <w:rFonts w:ascii="方正仿宋简体" w:eastAsia="方正仿宋简体"/>
          <w:b/>
        </w:rPr>
      </w:pPr>
      <w:r>
        <w:rPr>
          <w:rFonts w:hint="eastAsia" w:ascii="方正仿宋简体" w:eastAsia="方正仿宋简体"/>
          <w:b/>
        </w:rPr>
        <w:t>十九、</w:t>
      </w:r>
      <w:r>
        <w:rPr>
          <w:rFonts w:hint="eastAsia" w:ascii="仿宋" w:hAnsi="仿宋" w:eastAsia="仿宋"/>
          <w:kern w:val="24"/>
          <w:sz w:val="28"/>
          <w:szCs w:val="28"/>
        </w:rPr>
        <w:t>审核基于对可获得信息的抽样过程的免责声明</w:t>
      </w:r>
      <w:r>
        <w:rPr>
          <w:rFonts w:hint="eastAsia" w:ascii="方正仿宋简体" w:eastAsia="方正仿宋简体"/>
          <w:b/>
        </w:rPr>
        <w:t>：</w:t>
      </w:r>
    </w:p>
    <w:p>
      <w:pPr>
        <w:snapToGrid w:val="0"/>
        <w:ind w:firstLine="354" w:firstLineChars="147"/>
        <w:jc w:val="left"/>
        <w:rPr>
          <w:rFonts w:ascii="方正仿宋简体" w:eastAsia="方正仿宋简体"/>
          <w:b/>
        </w:rPr>
      </w:pPr>
    </w:p>
    <w:p>
      <w:pPr>
        <w:snapToGrid w:val="0"/>
        <w:ind w:firstLine="354" w:firstLineChars="147"/>
        <w:jc w:val="left"/>
        <w:rPr>
          <w:b/>
          <w:szCs w:val="24"/>
        </w:rPr>
      </w:pPr>
      <w:r>
        <w:rPr>
          <w:rFonts w:hint="eastAsia" w:ascii="方正仿宋简体" w:eastAsia="方正仿宋简体"/>
          <w:b/>
        </w:rPr>
        <w:t>本次审核基于抽样检查，因此，不可能包含受审核方管理体系覆盖的产品或服务的全部活动。仍可能有未发现的不符合项存在于目前管理体系的运行中。</w:t>
      </w:r>
    </w:p>
    <w:p/>
    <w:sectPr>
      <w:headerReference r:id="rId3" w:type="default"/>
      <w:pgSz w:w="11906" w:h="16838"/>
      <w:pgMar w:top="936" w:right="1077" w:bottom="936" w:left="1134" w:header="454"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98" w:leftChars="-41" w:firstLine="810" w:firstLineChars="450"/>
      <w:jc w:val="left"/>
      <w:rPr>
        <w:rStyle w:val="15"/>
        <w:rFonts w:hint="default"/>
      </w:rPr>
    </w:pPr>
    <w:r>
      <w:pict>
        <v:shape id="_x0000_s3073" o:spid="_x0000_s3073"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5"/>
        <w:rFonts w:hint="default"/>
      </w:rPr>
      <w:t>北京国标联合认证有限公司</w:t>
    </w:r>
    <w:r>
      <w:rPr>
        <w:rStyle w:val="15"/>
        <w:rFonts w:hint="default"/>
      </w:rPr>
      <w:tab/>
    </w:r>
    <w:r>
      <w:rPr>
        <w:rStyle w:val="15"/>
        <w:rFonts w:hint="default"/>
      </w:rPr>
      <w:tab/>
    </w:r>
    <w:r>
      <w:rPr>
        <w:rStyle w:val="15"/>
        <w:rFonts w:hint="default"/>
      </w:rPr>
      <w:tab/>
    </w:r>
  </w:p>
  <w:p>
    <w:r>
      <w:pict>
        <v:shape id="文本框 1" o:spid="_x0000_s3074"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3</w:t>
                </w:r>
                <w:r>
                  <w:rPr>
                    <w:rFonts w:hint="eastAsia"/>
                    <w:sz w:val="18"/>
                    <w:szCs w:val="18"/>
                  </w:rPr>
                  <w:t>管理体系审核记录表(03版)</w:t>
                </w:r>
              </w:p>
            </w:txbxContent>
          </v:textbox>
        </v:shape>
      </w:pict>
    </w:r>
    <w:r>
      <w:rPr>
        <w:rStyle w:val="15"/>
        <w:rFonts w:hint="default"/>
        <w:w w:val="90"/>
      </w:rPr>
      <w:t>Beijing International Standard united Certification Co.,Ltd.</w:t>
    </w:r>
    <w:r>
      <w:rPr>
        <w:rFonts w:hint="eastAsia"/>
        <w:sz w:val="18"/>
        <w:szCs w:val="18"/>
      </w:rPr>
      <w:t>ISC-B-II-1</w:t>
    </w:r>
    <w:r>
      <w:rPr>
        <w:sz w:val="18"/>
        <w:szCs w:val="18"/>
      </w:rPr>
      <w:t>3</w:t>
    </w:r>
    <w:r>
      <w:rPr>
        <w:rFonts w:hint="eastAsia"/>
        <w:sz w:val="18"/>
        <w:szCs w:val="18"/>
      </w:rPr>
      <w:t>管理体系审核记录表(03版)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9EA2252"/>
    <w:multiLevelType w:val="singleLevel"/>
    <w:tmpl w:val="C9EA2252"/>
    <w:lvl w:ilvl="0" w:tentative="0">
      <w:start w:val="9"/>
      <w:numFmt w:val="decimal"/>
      <w:suff w:val="space"/>
      <w:lvlText w:val="%1."/>
      <w:lvlJc w:val="left"/>
    </w:lvl>
  </w:abstractNum>
  <w:abstractNum w:abstractNumId="1">
    <w:nsid w:val="E3D2E9D9"/>
    <w:multiLevelType w:val="singleLevel"/>
    <w:tmpl w:val="E3D2E9D9"/>
    <w:lvl w:ilvl="0" w:tentative="0">
      <w:start w:val="3"/>
      <w:numFmt w:val="decimal"/>
      <w:lvlText w:val="%1."/>
      <w:lvlJc w:val="left"/>
      <w:pPr>
        <w:tabs>
          <w:tab w:val="left" w:pos="312"/>
        </w:tabs>
      </w:pPr>
    </w:lvl>
  </w:abstractNum>
  <w:abstractNum w:abstractNumId="2">
    <w:nsid w:val="00000001"/>
    <w:multiLevelType w:val="multilevel"/>
    <w:tmpl w:val="00000001"/>
    <w:lvl w:ilvl="0" w:tentative="0">
      <w:start w:val="1"/>
      <w:numFmt w:val="decimal"/>
      <w:lvlText w:val="%1．"/>
      <w:lvlJc w:val="left"/>
      <w:pPr>
        <w:tabs>
          <w:tab w:val="left" w:pos="960"/>
        </w:tabs>
        <w:ind w:left="960" w:hanging="360"/>
      </w:pPr>
      <w:rPr>
        <w:rFonts w:hint="default" w:cs="Times New Roman"/>
      </w:rPr>
    </w:lvl>
    <w:lvl w:ilvl="1" w:tentative="0">
      <w:start w:val="1"/>
      <w:numFmt w:val="lowerLetter"/>
      <w:lvlText w:val="%2)"/>
      <w:lvlJc w:val="left"/>
      <w:pPr>
        <w:tabs>
          <w:tab w:val="left" w:pos="1440"/>
        </w:tabs>
        <w:ind w:left="1440" w:hanging="420"/>
      </w:pPr>
      <w:rPr>
        <w:rFonts w:cs="Times New Roman"/>
      </w:rPr>
    </w:lvl>
    <w:lvl w:ilvl="2" w:tentative="0">
      <w:start w:val="1"/>
      <w:numFmt w:val="lowerRoman"/>
      <w:lvlText w:val="%3."/>
      <w:lvlJc w:val="right"/>
      <w:pPr>
        <w:tabs>
          <w:tab w:val="left" w:pos="1860"/>
        </w:tabs>
        <w:ind w:left="1860" w:hanging="420"/>
      </w:pPr>
      <w:rPr>
        <w:rFonts w:cs="Times New Roman"/>
      </w:rPr>
    </w:lvl>
    <w:lvl w:ilvl="3" w:tentative="0">
      <w:start w:val="1"/>
      <w:numFmt w:val="decimal"/>
      <w:lvlText w:val="%4."/>
      <w:lvlJc w:val="left"/>
      <w:pPr>
        <w:tabs>
          <w:tab w:val="left" w:pos="2280"/>
        </w:tabs>
        <w:ind w:left="2280" w:hanging="420"/>
      </w:pPr>
      <w:rPr>
        <w:rFonts w:cs="Times New Roman"/>
      </w:rPr>
    </w:lvl>
    <w:lvl w:ilvl="4" w:tentative="0">
      <w:start w:val="1"/>
      <w:numFmt w:val="lowerLetter"/>
      <w:lvlText w:val="%5)"/>
      <w:lvlJc w:val="left"/>
      <w:pPr>
        <w:tabs>
          <w:tab w:val="left" w:pos="2700"/>
        </w:tabs>
        <w:ind w:left="2700" w:hanging="420"/>
      </w:pPr>
      <w:rPr>
        <w:rFonts w:cs="Times New Roman"/>
      </w:rPr>
    </w:lvl>
    <w:lvl w:ilvl="5" w:tentative="0">
      <w:start w:val="1"/>
      <w:numFmt w:val="lowerRoman"/>
      <w:lvlText w:val="%6."/>
      <w:lvlJc w:val="right"/>
      <w:pPr>
        <w:tabs>
          <w:tab w:val="left" w:pos="3120"/>
        </w:tabs>
        <w:ind w:left="3120" w:hanging="420"/>
      </w:pPr>
      <w:rPr>
        <w:rFonts w:cs="Times New Roman"/>
      </w:rPr>
    </w:lvl>
    <w:lvl w:ilvl="6" w:tentative="0">
      <w:start w:val="1"/>
      <w:numFmt w:val="decimal"/>
      <w:lvlText w:val="%7."/>
      <w:lvlJc w:val="left"/>
      <w:pPr>
        <w:tabs>
          <w:tab w:val="left" w:pos="3540"/>
        </w:tabs>
        <w:ind w:left="3540" w:hanging="420"/>
      </w:pPr>
      <w:rPr>
        <w:rFonts w:cs="Times New Roman"/>
      </w:rPr>
    </w:lvl>
    <w:lvl w:ilvl="7" w:tentative="0">
      <w:start w:val="1"/>
      <w:numFmt w:val="lowerLetter"/>
      <w:lvlText w:val="%8)"/>
      <w:lvlJc w:val="left"/>
      <w:pPr>
        <w:tabs>
          <w:tab w:val="left" w:pos="3960"/>
        </w:tabs>
        <w:ind w:left="3960" w:hanging="420"/>
      </w:pPr>
      <w:rPr>
        <w:rFonts w:cs="Times New Roman"/>
      </w:rPr>
    </w:lvl>
    <w:lvl w:ilvl="8" w:tentative="0">
      <w:start w:val="1"/>
      <w:numFmt w:val="lowerRoman"/>
      <w:lvlText w:val="%9."/>
      <w:lvlJc w:val="right"/>
      <w:pPr>
        <w:tabs>
          <w:tab w:val="left" w:pos="4380"/>
        </w:tabs>
        <w:ind w:left="4380" w:hanging="420"/>
      </w:pPr>
      <w:rPr>
        <w:rFonts w:cs="Times New Roman"/>
      </w:rPr>
    </w:lvl>
  </w:abstractNum>
  <w:abstractNum w:abstractNumId="3">
    <w:nsid w:val="25A44EAE"/>
    <w:multiLevelType w:val="multilevel"/>
    <w:tmpl w:val="25A44EAE"/>
    <w:lvl w:ilvl="0" w:tentative="0">
      <w:start w:val="1"/>
      <w:numFmt w:val="decimal"/>
      <w:lvlText w:val="%1."/>
      <w:lvlJc w:val="left"/>
      <w:pPr>
        <w:tabs>
          <w:tab w:val="left" w:pos="855"/>
        </w:tabs>
        <w:ind w:left="855" w:hanging="405"/>
      </w:pPr>
      <w:rPr>
        <w:rFonts w:hint="default"/>
      </w:rPr>
    </w:lvl>
    <w:lvl w:ilvl="1" w:tentative="0">
      <w:start w:val="1"/>
      <w:numFmt w:val="lowerLetter"/>
      <w:lvlText w:val="%2)"/>
      <w:lvlJc w:val="left"/>
      <w:pPr>
        <w:tabs>
          <w:tab w:val="left" w:pos="1290"/>
        </w:tabs>
        <w:ind w:left="1290" w:hanging="420"/>
      </w:pPr>
    </w:lvl>
    <w:lvl w:ilvl="2" w:tentative="0">
      <w:start w:val="1"/>
      <w:numFmt w:val="lowerRoman"/>
      <w:lvlText w:val="%3."/>
      <w:lvlJc w:val="right"/>
      <w:pPr>
        <w:tabs>
          <w:tab w:val="left" w:pos="1710"/>
        </w:tabs>
        <w:ind w:left="1710" w:hanging="420"/>
      </w:pPr>
    </w:lvl>
    <w:lvl w:ilvl="3" w:tentative="0">
      <w:start w:val="1"/>
      <w:numFmt w:val="decimal"/>
      <w:lvlText w:val="%4."/>
      <w:lvlJc w:val="left"/>
      <w:pPr>
        <w:tabs>
          <w:tab w:val="left" w:pos="2130"/>
        </w:tabs>
        <w:ind w:left="2130" w:hanging="420"/>
      </w:pPr>
    </w:lvl>
    <w:lvl w:ilvl="4" w:tentative="0">
      <w:start w:val="1"/>
      <w:numFmt w:val="lowerLetter"/>
      <w:lvlText w:val="%5)"/>
      <w:lvlJc w:val="left"/>
      <w:pPr>
        <w:tabs>
          <w:tab w:val="left" w:pos="2550"/>
        </w:tabs>
        <w:ind w:left="2550" w:hanging="420"/>
      </w:pPr>
    </w:lvl>
    <w:lvl w:ilvl="5" w:tentative="0">
      <w:start w:val="1"/>
      <w:numFmt w:val="lowerRoman"/>
      <w:lvlText w:val="%6."/>
      <w:lvlJc w:val="right"/>
      <w:pPr>
        <w:tabs>
          <w:tab w:val="left" w:pos="2970"/>
        </w:tabs>
        <w:ind w:left="2970" w:hanging="420"/>
      </w:pPr>
    </w:lvl>
    <w:lvl w:ilvl="6" w:tentative="0">
      <w:start w:val="1"/>
      <w:numFmt w:val="decimal"/>
      <w:lvlText w:val="%7."/>
      <w:lvlJc w:val="left"/>
      <w:pPr>
        <w:tabs>
          <w:tab w:val="left" w:pos="3390"/>
        </w:tabs>
        <w:ind w:left="3390" w:hanging="420"/>
      </w:pPr>
    </w:lvl>
    <w:lvl w:ilvl="7" w:tentative="0">
      <w:start w:val="1"/>
      <w:numFmt w:val="lowerLetter"/>
      <w:lvlText w:val="%8)"/>
      <w:lvlJc w:val="left"/>
      <w:pPr>
        <w:tabs>
          <w:tab w:val="left" w:pos="3810"/>
        </w:tabs>
        <w:ind w:left="3810" w:hanging="420"/>
      </w:pPr>
    </w:lvl>
    <w:lvl w:ilvl="8" w:tentative="0">
      <w:start w:val="1"/>
      <w:numFmt w:val="lowerRoman"/>
      <w:lvlText w:val="%9."/>
      <w:lvlJc w:val="right"/>
      <w:pPr>
        <w:tabs>
          <w:tab w:val="left" w:pos="4230"/>
        </w:tabs>
        <w:ind w:left="4230" w:hanging="420"/>
      </w:pPr>
    </w:lvl>
  </w:abstractNum>
  <w:abstractNum w:abstractNumId="4">
    <w:nsid w:val="4F3329BA"/>
    <w:multiLevelType w:val="multilevel"/>
    <w:tmpl w:val="4F3329BA"/>
    <w:lvl w:ilvl="0" w:tentative="0">
      <w:start w:val="1"/>
      <w:numFmt w:val="decimal"/>
      <w:lvlText w:val="（%1）"/>
      <w:lvlJc w:val="left"/>
      <w:pPr>
        <w:ind w:left="420" w:hanging="42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5">
    <w:nsid w:val="74B7CC36"/>
    <w:multiLevelType w:val="singleLevel"/>
    <w:tmpl w:val="74B7CC36"/>
    <w:lvl w:ilvl="0" w:tentative="0">
      <w:start w:val="2"/>
      <w:numFmt w:val="decimal"/>
      <w:lvlText w:val="%1."/>
      <w:lvlJc w:val="left"/>
      <w:pPr>
        <w:tabs>
          <w:tab w:val="left" w:pos="312"/>
        </w:tabs>
      </w:pPr>
    </w:lvl>
  </w:abstractNum>
  <w:abstractNum w:abstractNumId="6">
    <w:nsid w:val="7890A197"/>
    <w:multiLevelType w:val="singleLevel"/>
    <w:tmpl w:val="7890A197"/>
    <w:lvl w:ilvl="0" w:tentative="0">
      <w:start w:val="2"/>
      <w:numFmt w:val="decimal"/>
      <w:suff w:val="nothing"/>
      <w:lvlText w:val="%1、"/>
      <w:lvlJc w:val="left"/>
    </w:lvl>
  </w:abstractNum>
  <w:num w:numId="1">
    <w:abstractNumId w:val="6"/>
  </w:num>
  <w:num w:numId="2">
    <w:abstractNumId w:val="1"/>
  </w:num>
  <w:num w:numId="3">
    <w:abstractNumId w:val="4"/>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5"/>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A4C212E"/>
    <w:rsid w:val="3D8A7928"/>
    <w:rsid w:val="51DE36B1"/>
    <w:rsid w:val="6C554767"/>
    <w:rsid w:val="75914F1D"/>
    <w:rsid w:val="7D39077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paragraph" w:styleId="2">
    <w:name w:val="heading 2"/>
    <w:basedOn w:val="1"/>
    <w:next w:val="3"/>
    <w:qFormat/>
    <w:locked/>
    <w:uiPriority w:val="99"/>
    <w:pPr>
      <w:keepNext/>
      <w:tabs>
        <w:tab w:val="left" w:pos="3510"/>
        <w:tab w:val="left" w:pos="3585"/>
        <w:tab w:val="center" w:pos="4410"/>
        <w:tab w:val="left" w:pos="4620"/>
        <w:tab w:val="left" w:pos="4830"/>
        <w:tab w:val="left" w:pos="5580"/>
      </w:tabs>
      <w:outlineLvl w:val="1"/>
    </w:pPr>
    <w:rPr>
      <w:rFonts w:ascii="Calibri" w:hAnsi="Calibri"/>
      <w:b/>
      <w:bCs/>
      <w:sz w:val="32"/>
      <w:szCs w:val="20"/>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adjustRightInd w:val="0"/>
      <w:spacing w:line="360" w:lineRule="atLeast"/>
      <w:ind w:left="480"/>
      <w:textAlignment w:val="baseline"/>
    </w:pPr>
    <w:rPr>
      <w:kern w:val="0"/>
    </w:rPr>
  </w:style>
  <w:style w:type="paragraph" w:styleId="4">
    <w:name w:val="Balloon Text"/>
    <w:basedOn w:val="1"/>
    <w:link w:val="10"/>
    <w:semiHidden/>
    <w:qFormat/>
    <w:uiPriority w:val="99"/>
    <w:rPr>
      <w:sz w:val="18"/>
      <w:szCs w:val="18"/>
    </w:rPr>
  </w:style>
  <w:style w:type="paragraph" w:styleId="5">
    <w:name w:val="footer"/>
    <w:basedOn w:val="1"/>
    <w:link w:val="11"/>
    <w:semiHidden/>
    <w:qFormat/>
    <w:uiPriority w:val="99"/>
    <w:pPr>
      <w:tabs>
        <w:tab w:val="center" w:pos="4153"/>
        <w:tab w:val="right" w:pos="8306"/>
      </w:tabs>
      <w:snapToGrid w:val="0"/>
      <w:jc w:val="left"/>
    </w:pPr>
    <w:rPr>
      <w:sz w:val="18"/>
      <w:szCs w:val="18"/>
    </w:rPr>
  </w:style>
  <w:style w:type="paragraph" w:styleId="6">
    <w:name w:val="header"/>
    <w:basedOn w:val="1"/>
    <w:link w:val="12"/>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table" w:styleId="8">
    <w:name w:val="Table Grid"/>
    <w:basedOn w:val="7"/>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批注框文本 Char"/>
    <w:link w:val="4"/>
    <w:semiHidden/>
    <w:qFormat/>
    <w:locked/>
    <w:uiPriority w:val="99"/>
    <w:rPr>
      <w:rFonts w:ascii="Times New Roman" w:hAnsi="Times New Roman" w:eastAsia="宋体" w:cs="Times New Roman"/>
      <w:sz w:val="18"/>
      <w:szCs w:val="18"/>
    </w:rPr>
  </w:style>
  <w:style w:type="character" w:customStyle="1" w:styleId="11">
    <w:name w:val="页脚 Char"/>
    <w:link w:val="5"/>
    <w:semiHidden/>
    <w:qFormat/>
    <w:locked/>
    <w:uiPriority w:val="99"/>
    <w:rPr>
      <w:rFonts w:ascii="Times New Roman" w:hAnsi="Times New Roman" w:eastAsia="宋体" w:cs="Times New Roman"/>
      <w:sz w:val="18"/>
      <w:szCs w:val="18"/>
    </w:rPr>
  </w:style>
  <w:style w:type="character" w:customStyle="1" w:styleId="12">
    <w:name w:val="页眉 Char"/>
    <w:link w:val="6"/>
    <w:qFormat/>
    <w:locked/>
    <w:uiPriority w:val="0"/>
    <w:rPr>
      <w:sz w:val="18"/>
    </w:rPr>
  </w:style>
  <w:style w:type="character" w:customStyle="1" w:styleId="13">
    <w:name w:val="页眉 Char1"/>
    <w:semiHidden/>
    <w:qFormat/>
    <w:uiPriority w:val="99"/>
    <w:rPr>
      <w:rFonts w:ascii="Times New Roman" w:hAnsi="Times New Roman" w:eastAsia="宋体" w:cs="Times New Roman"/>
      <w:sz w:val="18"/>
      <w:szCs w:val="18"/>
    </w:rPr>
  </w:style>
  <w:style w:type="paragraph" w:styleId="14">
    <w:name w:val="List Paragraph"/>
    <w:basedOn w:val="1"/>
    <w:qFormat/>
    <w:uiPriority w:val="99"/>
    <w:pPr>
      <w:ind w:firstLine="420" w:firstLineChars="200"/>
    </w:pPr>
    <w:rPr>
      <w:sz w:val="21"/>
      <w:szCs w:val="24"/>
    </w:rPr>
  </w:style>
  <w:style w:type="character" w:customStyle="1" w:styleId="15">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3074"/>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655</Words>
  <Characters>3739</Characters>
  <Lines>31</Lines>
  <Paragraphs>8</Paragraphs>
  <TotalTime>0</TotalTime>
  <ScaleCrop>false</ScaleCrop>
  <LinksUpToDate>false</LinksUpToDate>
  <CharactersWithSpaces>4386</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2016-02-29T05:10:00Z</dcterms:created>
  <dc:creator>微软用户</dc:creator>
  <cp:lastModifiedBy>LIL</cp:lastModifiedBy>
  <cp:lastPrinted>2019-04-18T08:15:00Z</cp:lastPrinted>
  <dcterms:modified xsi:type="dcterms:W3CDTF">2020-09-07T20:41:42Z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