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ind w:firstLine="1280" w:firstLineChars="400"/>
        <w:jc w:val="both"/>
        <w:rPr>
          <w:rFonts w:ascii="宋体" w:hAnsi="宋体"/>
          <w:sz w:val="32"/>
          <w:szCs w:val="32"/>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32"/>
          <w:szCs w:val="32"/>
          <w:u w:val="single"/>
        </w:rPr>
        <w:t>陕西华强精密铸造有限公司</w:t>
      </w:r>
      <w:bookmarkEnd w:id="1"/>
    </w:p>
    <w:p>
      <w:pPr>
        <w:spacing w:line="360" w:lineRule="auto"/>
        <w:ind w:firstLine="1440" w:firstLineChars="300"/>
        <w:jc w:val="both"/>
        <w:rPr>
          <w:rFonts w:hint="default" w:ascii="宋体" w:hAnsi="宋体" w:eastAsiaTheme="minorEastAsia"/>
          <w:spacing w:val="32"/>
          <w:sz w:val="32"/>
          <w:u w:val="single"/>
          <w:lang w:val="en-US" w:eastAsia="zh-CN"/>
        </w:rPr>
      </w:pPr>
      <w:r>
        <w:rPr>
          <w:rFonts w:hint="eastAsia" w:ascii="宋体" w:hAnsi="宋体"/>
          <w:spacing w:val="80"/>
          <w:sz w:val="32"/>
        </w:rPr>
        <w:t>编</w:t>
      </w:r>
      <w:r>
        <w:rPr>
          <w:rFonts w:hint="eastAsia" w:ascii="宋体" w:hAnsi="宋体"/>
          <w:spacing w:val="80"/>
          <w:sz w:val="32"/>
          <w:lang w:val="en-US" w:eastAsia="zh-CN"/>
        </w:rPr>
        <w:t xml:space="preserve">   </w:t>
      </w:r>
      <w:r>
        <w:rPr>
          <w:rFonts w:hint="eastAsia" w:ascii="宋体" w:hAnsi="宋体"/>
          <w:spacing w:val="80"/>
          <w:sz w:val="32"/>
        </w:rPr>
        <w:t>号</w:t>
      </w:r>
      <w:r>
        <w:rPr>
          <w:rFonts w:hint="eastAsia" w:ascii="宋体" w:hAnsi="宋体"/>
          <w:sz w:val="32"/>
        </w:rPr>
        <w:t>：</w:t>
      </w:r>
      <w:bookmarkStart w:id="2" w:name="合同编号"/>
      <w:r>
        <w:rPr>
          <w:rFonts w:hint="eastAsia" w:ascii="宋体" w:hAnsi="宋体"/>
          <w:sz w:val="32"/>
          <w:u w:val="single"/>
          <w:lang w:val="en-US" w:eastAsia="zh-CN"/>
        </w:rPr>
        <w:t xml:space="preserve">  </w:t>
      </w:r>
      <w:r>
        <w:rPr>
          <w:rFonts w:hint="eastAsia" w:ascii="宋体" w:hAnsi="宋体"/>
          <w:sz w:val="32"/>
          <w:u w:val="single"/>
        </w:rPr>
        <w:t>00</w:t>
      </w:r>
      <w:r>
        <w:rPr>
          <w:rFonts w:hint="eastAsia" w:ascii="宋体" w:hAnsi="宋体"/>
          <w:sz w:val="32"/>
          <w:u w:val="single"/>
          <w:lang w:val="en-US" w:eastAsia="zh-CN"/>
        </w:rPr>
        <w:t>38</w:t>
      </w:r>
      <w:r>
        <w:rPr>
          <w:rFonts w:hint="eastAsia" w:ascii="宋体" w:hAnsi="宋体"/>
          <w:sz w:val="32"/>
          <w:u w:val="single"/>
        </w:rPr>
        <w:t>-2019-2020</w:t>
      </w:r>
      <w:bookmarkEnd w:id="2"/>
      <w:r>
        <w:rPr>
          <w:rFonts w:hint="eastAsia" w:ascii="宋体" w:hAnsi="宋体"/>
          <w:sz w:val="32"/>
          <w:u w:val="single"/>
          <w:lang w:val="en-US" w:eastAsia="zh-CN"/>
        </w:rPr>
        <w:t xml:space="preserve">  </w:t>
      </w:r>
    </w:p>
    <w:p>
      <w:pPr>
        <w:spacing w:line="360" w:lineRule="auto"/>
        <w:ind w:firstLine="1440" w:firstLineChars="300"/>
        <w:jc w:val="both"/>
        <w:rPr>
          <w:rFonts w:hint="default" w:ascii="宋体" w:hAnsi="宋体" w:eastAsiaTheme="minorEastAsia"/>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u w:val="single"/>
          <w:lang w:val="en-US" w:eastAsia="zh-CN"/>
        </w:rPr>
        <w:t xml:space="preserve">   </w:t>
      </w:r>
      <w:r>
        <w:rPr>
          <w:rFonts w:hint="eastAsia" w:ascii="宋体" w:hAnsi="宋体"/>
          <w:sz w:val="32"/>
          <w:u w:val="single"/>
        </w:rPr>
        <w:t>年度监督审核</w:t>
      </w:r>
      <w:r>
        <w:rPr>
          <w:rFonts w:hint="eastAsia" w:ascii="宋体" w:hAnsi="宋体"/>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0050-2019-2020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909"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2948"/>
        <w:gridCol w:w="1732"/>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948"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cs="宋体" w:asciiTheme="minorEastAsia" w:hAnsiTheme="minorEastAsia"/>
                <w:kern w:val="0"/>
                <w:szCs w:val="21"/>
              </w:rPr>
              <w:t>陕西华强精密铸造有限公司</w:t>
            </w:r>
          </w:p>
        </w:tc>
        <w:tc>
          <w:tcPr>
            <w:tcW w:w="1732"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cs="宋体" w:asciiTheme="minorEastAsia" w:hAnsiTheme="minorEastAsia"/>
                <w:kern w:val="0"/>
                <w:szCs w:val="21"/>
              </w:rPr>
              <w:t>企业联系人</w:t>
            </w:r>
          </w:p>
        </w:tc>
        <w:tc>
          <w:tcPr>
            <w:tcW w:w="2380" w:type="dxa"/>
            <w:vAlign w:val="top"/>
          </w:tcPr>
          <w:p>
            <w:pPr>
              <w:tabs>
                <w:tab w:val="left" w:pos="880"/>
              </w:tabs>
              <w:autoSpaceDE w:val="0"/>
              <w:autoSpaceDN w:val="0"/>
              <w:adjustRightInd w:val="0"/>
              <w:spacing w:before="35" w:line="360" w:lineRule="auto"/>
              <w:ind w:right="161" w:rightChars="0"/>
              <w:rPr>
                <w:rFonts w:cs="宋体" w:asciiTheme="minorEastAsia" w:hAnsiTheme="minorEastAsia"/>
                <w:kern w:val="0"/>
                <w:szCs w:val="21"/>
              </w:rPr>
            </w:pPr>
            <w:r>
              <w:rPr>
                <w:rFonts w:cs="宋体" w:asciiTheme="minorEastAsia" w:hAnsiTheme="minorEastAsia"/>
                <w:kern w:val="0"/>
                <w:szCs w:val="21"/>
              </w:rPr>
              <w:t>梁田田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948"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cs="宋体" w:asciiTheme="minorEastAsia" w:hAnsiTheme="minorEastAsia"/>
                <w:kern w:val="0"/>
                <w:szCs w:val="21"/>
              </w:rPr>
              <w:t>ISC-2019-0455</w:t>
            </w:r>
            <w:bookmarkStart w:id="5" w:name="_GoBack"/>
            <w:bookmarkEnd w:id="5"/>
          </w:p>
        </w:tc>
        <w:tc>
          <w:tcPr>
            <w:tcW w:w="1732"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cs="宋体" w:asciiTheme="minorEastAsia" w:hAnsiTheme="minorEastAsia"/>
                <w:kern w:val="0"/>
                <w:szCs w:val="21"/>
              </w:rPr>
              <w:t>证书有效期</w:t>
            </w:r>
          </w:p>
        </w:tc>
        <w:tc>
          <w:tcPr>
            <w:tcW w:w="2380" w:type="dxa"/>
            <w:vAlign w:val="top"/>
          </w:tcPr>
          <w:p>
            <w:pPr>
              <w:tabs>
                <w:tab w:val="left" w:pos="880"/>
              </w:tabs>
              <w:autoSpaceDE w:val="0"/>
              <w:autoSpaceDN w:val="0"/>
              <w:adjustRightInd w:val="0"/>
              <w:spacing w:before="35" w:line="360" w:lineRule="auto"/>
              <w:ind w:right="161" w:rightChars="0"/>
              <w:rPr>
                <w:rFonts w:cs="宋体" w:asciiTheme="minorEastAsia" w:hAnsiTheme="minorEastAsia"/>
                <w:kern w:val="0"/>
                <w:szCs w:val="21"/>
              </w:rPr>
            </w:pPr>
            <w:r>
              <w:rPr>
                <w:rFonts w:cs="宋体" w:asciiTheme="minorEastAsia" w:hAnsiTheme="minorEastAsia"/>
                <w:kern w:val="0"/>
                <w:szCs w:val="21"/>
              </w:rPr>
              <w:t xml:space="preserve">2024-07-25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948" w:type="dxa"/>
            <w:vAlign w:val="top"/>
          </w:tcPr>
          <w:p>
            <w:pPr>
              <w:tabs>
                <w:tab w:val="left" w:pos="880"/>
              </w:tabs>
              <w:autoSpaceDE w:val="0"/>
              <w:autoSpaceDN w:val="0"/>
              <w:adjustRightInd w:val="0"/>
              <w:spacing w:before="35" w:line="276" w:lineRule="auto"/>
              <w:ind w:right="161" w:rightChars="0"/>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第</w:t>
            </w:r>
            <w:r>
              <w:rPr>
                <w:rFonts w:cs="宋体" w:asciiTheme="minorEastAsia" w:hAnsiTheme="minorEastAsia"/>
                <w:kern w:val="0"/>
                <w:szCs w:val="21"/>
              </w:rPr>
              <w:t>一</w:t>
            </w:r>
            <w:r>
              <w:rPr>
                <w:rFonts w:hint="eastAsia" w:cs="宋体" w:asciiTheme="minorEastAsia" w:hAnsiTheme="minorEastAsia"/>
                <w:kern w:val="0"/>
                <w:szCs w:val="21"/>
                <w:lang w:val="en-US" w:eastAsia="zh-CN"/>
              </w:rPr>
              <w:t>次监督审核</w:t>
            </w:r>
          </w:p>
        </w:tc>
        <w:tc>
          <w:tcPr>
            <w:tcW w:w="1732"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380" w:type="dxa"/>
            <w:vAlign w:val="top"/>
          </w:tcPr>
          <w:p>
            <w:pPr>
              <w:tabs>
                <w:tab w:val="left" w:pos="880"/>
              </w:tabs>
              <w:autoSpaceDE w:val="0"/>
              <w:autoSpaceDN w:val="0"/>
              <w:adjustRightInd w:val="0"/>
              <w:spacing w:before="35" w:line="360" w:lineRule="auto"/>
              <w:ind w:right="161" w:rightChars="0"/>
              <w:rPr>
                <w:rFonts w:hint="default" w:cs="宋体" w:asciiTheme="minorEastAsia" w:hAnsiTheme="minorEastAsia" w:eastAsiaTheme="minorEastAsia"/>
                <w:kern w:val="0"/>
                <w:szCs w:val="21"/>
                <w:lang w:val="en-US" w:eastAsia="zh-CN"/>
              </w:rPr>
            </w:pPr>
            <w:r>
              <w:rPr>
                <w:rFonts w:cs="宋体" w:asciiTheme="minorEastAsia" w:hAnsiTheme="minorEastAsia"/>
                <w:kern w:val="0"/>
                <w:szCs w:val="21"/>
              </w:rPr>
              <w:t>2020年09月25日 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948" w:type="dxa"/>
          </w:tcPr>
          <w:p>
            <w:pPr>
              <w:tabs>
                <w:tab w:val="left" w:pos="880"/>
              </w:tabs>
              <w:autoSpaceDE w:val="0"/>
              <w:autoSpaceDN w:val="0"/>
              <w:adjustRightInd w:val="0"/>
              <w:spacing w:before="35" w:line="276" w:lineRule="auto"/>
              <w:ind w:right="161"/>
              <w:rPr>
                <w:rFonts w:hint="eastAsia" w:ascii="宋体" w:hAnsi="宋体"/>
                <w:szCs w:val="21"/>
              </w:rPr>
            </w:pPr>
            <w:r>
              <w:rPr>
                <w:rFonts w:hint="eastAsia" w:ascii="宋体" w:hAnsi="宋体"/>
                <w:szCs w:val="21"/>
              </w:rPr>
              <w:t>冷</w:t>
            </w:r>
            <w:r>
              <w:rPr>
                <w:rFonts w:ascii="宋体" w:hAnsi="宋体"/>
                <w:szCs w:val="21"/>
              </w:rPr>
              <w:t xml:space="preserve">  </w:t>
            </w:r>
            <w:r>
              <w:rPr>
                <w:rFonts w:hint="eastAsia" w:ascii="宋体" w:hAnsi="宋体"/>
                <w:szCs w:val="21"/>
              </w:rPr>
              <w:t>校</w:t>
            </w:r>
            <w:r>
              <w:rPr>
                <w:rFonts w:hint="eastAsia" w:ascii="宋体" w:hAnsi="宋体"/>
                <w:szCs w:val="21"/>
                <w:lang w:val="en-US" w:eastAsia="zh-CN"/>
              </w:rPr>
              <w:t xml:space="preserve">   </w:t>
            </w:r>
            <w:r>
              <w:rPr>
                <w:rFonts w:ascii="宋体" w:hAnsi="宋体"/>
                <w:color w:val="000000"/>
                <w:szCs w:val="21"/>
              </w:rPr>
              <w:t>ISC[S]0011</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ascii="宋体" w:hAnsi="宋体"/>
                <w:color w:val="000000"/>
                <w:szCs w:val="21"/>
              </w:rPr>
              <w:t>中认协评[2018]193号</w:t>
            </w:r>
          </w:p>
        </w:tc>
        <w:tc>
          <w:tcPr>
            <w:tcW w:w="1732"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380" w:type="dxa"/>
          </w:tcPr>
          <w:p>
            <w:pPr>
              <w:tabs>
                <w:tab w:val="left" w:pos="880"/>
              </w:tabs>
              <w:autoSpaceDE w:val="0"/>
              <w:autoSpaceDN w:val="0"/>
              <w:adjustRightInd w:val="0"/>
              <w:spacing w:before="35" w:line="360" w:lineRule="auto"/>
              <w:ind w:right="161"/>
              <w:rPr>
                <w:rFonts w:hint="default" w:cs="宋体" w:asciiTheme="minorEastAsia" w:hAnsiTheme="minorEastAsia"/>
                <w:kern w:val="0"/>
                <w:szCs w:val="21"/>
                <w:lang w:val="en-US"/>
              </w:rPr>
            </w:pPr>
            <w:r>
              <w:rPr>
                <w:rFonts w:hint="eastAsia" w:ascii="Times New Roman" w:hAnsi="Times New Roman" w:eastAsia="新宋体" w:cs="Times New Roman"/>
                <w:szCs w:val="21"/>
                <w:lang w:val="en-US" w:eastAsia="zh-CN"/>
              </w:rPr>
              <w:t>技术质量部</w:t>
            </w:r>
            <w:r>
              <w:rPr>
                <w:rFonts w:hint="default" w:ascii="Times New Roman" w:hAnsi="Times New Roman" w:cs="Times New Roman"/>
                <w:szCs w:val="21"/>
              </w:rPr>
              <w:t>、</w:t>
            </w:r>
            <w:r>
              <w:rPr>
                <w:rFonts w:hint="eastAsia" w:ascii="Times New Roman" w:hAnsi="Times New Roman" w:cs="Times New Roman"/>
                <w:szCs w:val="21"/>
                <w:lang w:val="en-US" w:eastAsia="zh-CN"/>
              </w:rPr>
              <w:t>生产经营部、制模车间等</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rPr>
          <w:rFonts w:cs="宋体" w:asciiTheme="minorEastAsia" w:hAnsiTheme="minorEastAsia"/>
          <w:bCs/>
          <w:kern w:val="0"/>
          <w:szCs w:val="21"/>
        </w:rPr>
      </w:pPr>
      <w:r>
        <w:rPr>
          <w:rFonts w:hint="eastAsia" w:ascii="宋体" w:hAnsi="宋体" w:cs="宋体"/>
          <w:bCs/>
          <w:kern w:val="0"/>
          <w:sz w:val="24"/>
          <w:szCs w:val="24"/>
          <w:lang w:val="en-US" w:eastAsia="zh-CN"/>
        </w:rPr>
        <w:t xml:space="preserve">    </w:t>
      </w:r>
      <w:r>
        <w:rPr>
          <w:rFonts w:hint="eastAsia" w:ascii="宋体" w:hAnsi="宋体" w:cs="宋体"/>
          <w:bCs/>
          <w:kern w:val="0"/>
          <w:sz w:val="21"/>
          <w:szCs w:val="21"/>
        </w:rPr>
        <w:t>一年内，</w:t>
      </w:r>
      <w:r>
        <w:rPr>
          <w:rFonts w:hint="eastAsia" w:ascii="宋体" w:hAnsi="宋体"/>
          <w:sz w:val="21"/>
          <w:szCs w:val="21"/>
        </w:rPr>
        <w:t>公司</w:t>
      </w:r>
      <w:r>
        <w:rPr>
          <w:rFonts w:hint="eastAsia"/>
          <w:bCs/>
          <w:sz w:val="21"/>
          <w:szCs w:val="21"/>
        </w:rPr>
        <w:t>日常运行中生产、经营、安全、销售及管理方面，比去年都有一定提升，未见</w:t>
      </w:r>
      <w:r>
        <w:rPr>
          <w:rFonts w:hint="eastAsia" w:ascii="宋体" w:hAnsi="宋体" w:cs="宋体"/>
          <w:bCs/>
          <w:kern w:val="0"/>
          <w:sz w:val="21"/>
          <w:szCs w:val="21"/>
        </w:rPr>
        <w:t>违反法律、法规问题或重大质量事故发生。</w:t>
      </w:r>
    </w:p>
    <w:p>
      <w:pPr>
        <w:widowControl/>
        <w:numPr>
          <w:ilvl w:val="0"/>
          <w:numId w:val="1"/>
        </w:numPr>
        <w:spacing w:line="360" w:lineRule="auto"/>
        <w:rPr>
          <w:rFonts w:cs="宋体" w:asciiTheme="minorEastAsia" w:hAnsiTheme="minorEastAsia"/>
          <w:bCs/>
          <w:kern w:val="0"/>
          <w:szCs w:val="21"/>
        </w:rPr>
      </w:pPr>
      <w:r>
        <w:rPr>
          <w:rFonts w:cs="宋体" w:asciiTheme="minorEastAsia" w:hAnsiTheme="minorEastAsia"/>
          <w:bCs/>
          <w:kern w:val="0"/>
          <w:szCs w:val="21"/>
        </w:rPr>
        <w:t>监督审核过程简述：</w:t>
      </w:r>
    </w:p>
    <w:p>
      <w:pPr>
        <w:widowControl/>
        <w:numPr>
          <w:ilvl w:val="0"/>
          <w:numId w:val="0"/>
        </w:numPr>
        <w:spacing w:line="360" w:lineRule="auto"/>
        <w:rPr>
          <w:rFonts w:hint="default" w:ascii="宋体" w:hAnsi="宋体" w:cs="宋体" w:eastAsiaTheme="minorEastAsia"/>
          <w:bCs/>
          <w:color w:val="000000" w:themeColor="text1"/>
          <w:kern w:val="0"/>
          <w:sz w:val="21"/>
          <w:szCs w:val="21"/>
          <w:lang w:val="en-US" w:eastAsia="zh-CN"/>
          <w14:textFill>
            <w14:solidFill>
              <w14:schemeClr w14:val="tx1"/>
            </w14:solidFill>
          </w14:textFill>
        </w:rPr>
      </w:pPr>
      <w:r>
        <w:rPr>
          <w:rFonts w:hint="eastAsia" w:ascii="宋体" w:hAnsi="宋体"/>
          <w:sz w:val="24"/>
          <w:szCs w:val="24"/>
          <w:lang w:val="en-US" w:eastAsia="zh-CN"/>
        </w:rPr>
        <w:t xml:space="preserve">    </w:t>
      </w:r>
      <w:r>
        <w:rPr>
          <w:rFonts w:hint="eastAsia" w:ascii="宋体" w:hAnsi="宋体" w:cs="宋体"/>
          <w:bCs/>
          <w:color w:val="000000" w:themeColor="text1"/>
          <w:kern w:val="0"/>
          <w:sz w:val="21"/>
          <w:szCs w:val="21"/>
          <w14:textFill>
            <w14:solidFill>
              <w14:schemeClr w14:val="tx1"/>
            </w14:solidFill>
          </w14:textFill>
        </w:rPr>
        <w:t>为有效评价公司测量管理体系认证后一年以来运行情况，在</w:t>
      </w:r>
      <w:r>
        <w:rPr>
          <w:rFonts w:hint="eastAsia" w:ascii="宋体" w:hAnsi="宋体" w:cs="宋体"/>
          <w:bCs/>
          <w:color w:val="000000" w:themeColor="text1"/>
          <w:kern w:val="0"/>
          <w:sz w:val="21"/>
          <w:szCs w:val="21"/>
          <w:lang w:eastAsia="zh-CN"/>
          <w14:textFill>
            <w14:solidFill>
              <w14:schemeClr w14:val="tx1"/>
            </w14:solidFill>
          </w14:textFill>
        </w:rPr>
        <w:t>陕西华强精密铸造有限公司</w:t>
      </w:r>
      <w:r>
        <w:rPr>
          <w:rFonts w:hint="eastAsia" w:ascii="宋体" w:hAnsi="宋体" w:cs="宋体"/>
          <w:bCs/>
          <w:color w:val="000000" w:themeColor="text1"/>
          <w:kern w:val="0"/>
          <w:sz w:val="21"/>
          <w:szCs w:val="21"/>
          <w14:textFill>
            <w14:solidFill>
              <w14:schemeClr w14:val="tx1"/>
            </w14:solidFill>
          </w14:textFill>
        </w:rPr>
        <w:t>现场审核中，审核组先、后抽样检查了涉及公司测量体系内的管理、经营、质量等方面的</w:t>
      </w:r>
      <w:r>
        <w:rPr>
          <w:rFonts w:hint="eastAsia" w:ascii="宋体" w:hAnsi="宋体" w:cs="宋体"/>
          <w:bCs/>
          <w:color w:val="000000" w:themeColor="text1"/>
          <w:kern w:val="0"/>
          <w:sz w:val="21"/>
          <w:szCs w:val="21"/>
          <w:lang w:val="en-US" w:eastAsia="zh-CN"/>
          <w14:textFill>
            <w14:solidFill>
              <w14:schemeClr w14:val="tx1"/>
            </w14:solidFill>
          </w14:textFill>
        </w:rPr>
        <w:t>2</w:t>
      </w:r>
      <w:r>
        <w:rPr>
          <w:rFonts w:hint="eastAsia" w:ascii="宋体" w:hAnsi="宋体" w:cs="宋体"/>
          <w:bCs/>
          <w:color w:val="000000" w:themeColor="text1"/>
          <w:kern w:val="0"/>
          <w:sz w:val="21"/>
          <w:szCs w:val="21"/>
          <w14:textFill>
            <w14:solidFill>
              <w14:schemeClr w14:val="tx1"/>
            </w14:solidFill>
          </w14:textFill>
        </w:rPr>
        <w:t>个职能部门和</w:t>
      </w:r>
      <w:r>
        <w:rPr>
          <w:rFonts w:hint="eastAsia" w:ascii="宋体" w:hAnsi="宋体" w:cs="宋体"/>
          <w:bCs/>
          <w:color w:val="000000" w:themeColor="text1"/>
          <w:kern w:val="0"/>
          <w:sz w:val="21"/>
          <w:szCs w:val="21"/>
          <w:lang w:val="en-US" w:eastAsia="zh-CN"/>
          <w14:textFill>
            <w14:solidFill>
              <w14:schemeClr w14:val="tx1"/>
            </w14:solidFill>
          </w14:textFill>
        </w:rPr>
        <w:t>1个生产车间</w:t>
      </w:r>
      <w:r>
        <w:rPr>
          <w:rFonts w:hint="eastAsia" w:ascii="宋体" w:hAnsi="宋体" w:cs="宋体"/>
          <w:bCs/>
          <w:color w:val="000000" w:themeColor="text1"/>
          <w:kern w:val="0"/>
          <w:sz w:val="21"/>
          <w:szCs w:val="21"/>
          <w14:textFill>
            <w14:solidFill>
              <w14:schemeClr w14:val="tx1"/>
            </w14:solidFill>
          </w14:textFill>
        </w:rPr>
        <w:t>。重点核查环节有：原材料进厂检测、生产过程控制、产品出厂检验及测量设备量值溯源完成情况。公司领导层重视测量管理体系各项工作，完善了资源的配备，</w:t>
      </w:r>
      <w:r>
        <w:rPr>
          <w:rFonts w:hint="eastAsia" w:ascii="宋体" w:hAnsi="宋体" w:cs="宋体"/>
          <w:bCs/>
          <w:color w:val="000000" w:themeColor="text1"/>
          <w:kern w:val="0"/>
          <w:sz w:val="21"/>
          <w:szCs w:val="21"/>
          <w:lang w:val="en-US" w:eastAsia="zh-CN"/>
          <w14:textFill>
            <w14:solidFill>
              <w14:schemeClr w14:val="tx1"/>
            </w14:solidFill>
          </w14:textFill>
        </w:rPr>
        <w:t>新增了双工位射蜡机2台，中频炉3台，烧结炉3台，炉前快分仪1台，直读式光谱仪1台，新增人员20余人。</w:t>
      </w:r>
      <w:r>
        <w:rPr>
          <w:rFonts w:hint="eastAsia" w:ascii="宋体" w:hAnsi="宋体" w:cs="宋体"/>
          <w:color w:val="000000"/>
          <w:kern w:val="0"/>
          <w:szCs w:val="21"/>
          <w:lang w:eastAsia="zh-CN"/>
        </w:rPr>
        <w:t>缓速器定子、</w:t>
      </w:r>
      <w:r>
        <w:rPr>
          <w:rFonts w:hint="eastAsia" w:ascii="宋体" w:hAnsi="宋体" w:cs="宋体"/>
          <w:color w:val="000000"/>
          <w:kern w:val="0"/>
          <w:szCs w:val="21"/>
          <w:lang w:val="en-US" w:eastAsia="zh-CN"/>
        </w:rPr>
        <w:t>转子实现了批量生产</w:t>
      </w:r>
      <w:r>
        <w:rPr>
          <w:rFonts w:hint="eastAsia" w:ascii="宋体" w:hAnsi="宋体" w:cs="宋体"/>
          <w:bCs/>
          <w:color w:val="000000" w:themeColor="text1"/>
          <w:kern w:val="0"/>
          <w:sz w:val="21"/>
          <w:szCs w:val="21"/>
          <w:highlight w:val="none"/>
          <w:lang w:val="en-US" w:eastAsia="zh-CN"/>
          <w14:textFill>
            <w14:solidFill>
              <w14:schemeClr w14:val="tx1"/>
            </w14:solidFill>
          </w14:textFill>
        </w:rPr>
        <w:t>新增</w:t>
      </w:r>
      <w:r>
        <w:rPr>
          <w:rFonts w:hint="eastAsia" w:ascii="宋体" w:hAnsi="宋体" w:cs="宋体"/>
          <w:color w:val="000000" w:themeColor="text1"/>
          <w:kern w:val="0"/>
          <w:szCs w:val="21"/>
          <w:lang w:val="en-US" w:eastAsia="zh-CN"/>
          <w14:textFill>
            <w14:solidFill>
              <w14:schemeClr w14:val="tx1"/>
            </w14:solidFill>
          </w14:textFill>
        </w:rPr>
        <w:t>HB32001缓速器定子硬度测量过程</w:t>
      </w:r>
      <w:r>
        <w:rPr>
          <w:rFonts w:hint="eastAsia" w:ascii="宋体" w:hAnsi="宋体" w:cs="宋体"/>
          <w:bCs/>
          <w:color w:val="000000" w:themeColor="text1"/>
          <w:kern w:val="0"/>
          <w:sz w:val="21"/>
          <w:szCs w:val="21"/>
          <w:lang w:val="en-US" w:eastAsia="zh-CN"/>
          <w14:textFill>
            <w14:solidFill>
              <w14:schemeClr w14:val="tx1"/>
            </w14:solidFill>
          </w14:textFill>
        </w:rPr>
        <w:t>等</w:t>
      </w:r>
      <w:r>
        <w:rPr>
          <w:rFonts w:hint="eastAsia" w:ascii="宋体" w:hAnsi="宋体" w:cs="宋体"/>
          <w:bCs/>
          <w:color w:val="000000" w:themeColor="text1"/>
          <w:kern w:val="0"/>
          <w:sz w:val="21"/>
          <w:szCs w:val="21"/>
          <w:lang w:val="en-US" w:eastAsia="zh-CN"/>
          <w14:textFill>
            <w14:solidFill>
              <w14:schemeClr w14:val="tx1"/>
            </w14:solidFill>
          </w14:textFill>
        </w:rPr>
        <w:t>1个关键测量过程的识别和计量要求的导出。</w:t>
      </w:r>
      <w:r>
        <w:rPr>
          <w:rFonts w:hint="eastAsia" w:ascii="宋体" w:hAnsi="宋体" w:cs="宋体"/>
          <w:bCs/>
          <w:color w:val="000000" w:themeColor="text1"/>
          <w:kern w:val="0"/>
          <w:sz w:val="21"/>
          <w:szCs w:val="21"/>
          <w14:textFill>
            <w14:solidFill>
              <w14:schemeClr w14:val="tx1"/>
            </w14:solidFill>
          </w14:textFill>
        </w:rPr>
        <w:t>结合公司制定的质量目标，按规定的内容和时间进行考核，201</w:t>
      </w:r>
      <w:r>
        <w:rPr>
          <w:rFonts w:hint="eastAsia" w:ascii="宋体" w:hAnsi="宋体" w:cs="宋体"/>
          <w:bCs/>
          <w:color w:val="000000" w:themeColor="text1"/>
          <w:kern w:val="0"/>
          <w:sz w:val="21"/>
          <w:szCs w:val="21"/>
          <w:lang w:val="en-US" w:eastAsia="zh-CN"/>
          <w14:textFill>
            <w14:solidFill>
              <w14:schemeClr w14:val="tx1"/>
            </w14:solidFill>
          </w14:textFill>
        </w:rPr>
        <w:t>9</w:t>
      </w:r>
      <w:r>
        <w:rPr>
          <w:rFonts w:hint="eastAsia" w:ascii="宋体" w:hAnsi="宋体" w:cs="宋体"/>
          <w:bCs/>
          <w:color w:val="000000" w:themeColor="text1"/>
          <w:kern w:val="0"/>
          <w:sz w:val="21"/>
          <w:szCs w:val="21"/>
          <w14:textFill>
            <w14:solidFill>
              <w14:schemeClr w14:val="tx1"/>
            </w14:solidFill>
          </w14:textFill>
        </w:rPr>
        <w:t>年质量目标</w:t>
      </w:r>
      <w:r>
        <w:rPr>
          <w:rFonts w:hint="eastAsia" w:ascii="宋体" w:hAnsi="宋体" w:cs="宋体"/>
          <w:bCs/>
          <w:color w:val="000000" w:themeColor="text1"/>
          <w:kern w:val="0"/>
          <w:sz w:val="21"/>
          <w:szCs w:val="21"/>
          <w:lang w:val="en-US" w:eastAsia="zh-CN"/>
          <w14:textFill>
            <w14:solidFill>
              <w14:schemeClr w14:val="tx1"/>
            </w14:solidFill>
          </w14:textFill>
        </w:rPr>
        <w:t>和2020年1月至8月年质量目标</w:t>
      </w:r>
      <w:r>
        <w:rPr>
          <w:rFonts w:hint="eastAsia" w:ascii="宋体" w:hAnsi="宋体" w:cs="宋体"/>
          <w:bCs/>
          <w:color w:val="000000" w:themeColor="text1"/>
          <w:kern w:val="0"/>
          <w:sz w:val="21"/>
          <w:szCs w:val="21"/>
          <w14:textFill>
            <w14:solidFill>
              <w14:schemeClr w14:val="tx1"/>
            </w14:solidFill>
          </w14:textFill>
        </w:rPr>
        <w:t>完成情况</w:t>
      </w:r>
      <w:r>
        <w:rPr>
          <w:rFonts w:hint="eastAsia" w:ascii="宋体" w:hAnsi="宋体" w:cs="宋体"/>
          <w:bCs/>
          <w:color w:val="000000" w:themeColor="text1"/>
          <w:kern w:val="0"/>
          <w:sz w:val="21"/>
          <w:szCs w:val="21"/>
          <w:lang w:val="en-US" w:eastAsia="zh-CN"/>
          <w14:textFill>
            <w14:solidFill>
              <w14:schemeClr w14:val="tx1"/>
            </w14:solidFill>
          </w14:textFill>
        </w:rPr>
        <w:t>均</w:t>
      </w:r>
      <w:r>
        <w:rPr>
          <w:rFonts w:hint="eastAsia" w:ascii="宋体" w:hAnsi="宋体" w:cs="宋体"/>
          <w:bCs/>
          <w:color w:val="000000" w:themeColor="text1"/>
          <w:kern w:val="0"/>
          <w:sz w:val="21"/>
          <w:szCs w:val="21"/>
          <w14:textFill>
            <w14:solidFill>
              <w14:schemeClr w14:val="tx1"/>
            </w14:solidFill>
          </w14:textFill>
        </w:rPr>
        <w:t>较好；</w:t>
      </w:r>
      <w:r>
        <w:rPr>
          <w:rFonts w:hint="eastAsia" w:ascii="宋体" w:hAnsi="宋体" w:cs="宋体"/>
          <w:color w:val="000000" w:themeColor="text1"/>
          <w:kern w:val="0"/>
          <w:szCs w:val="21"/>
          <w:lang w:val="en-US" w:eastAsia="zh-CN"/>
          <w14:textFill>
            <w14:solidFill>
              <w14:schemeClr w14:val="tx1"/>
            </w14:solidFill>
          </w14:textFill>
        </w:rPr>
        <w:t>2019年10月29日</w:t>
      </w:r>
      <w:r>
        <w:rPr>
          <w:rFonts w:hint="eastAsia" w:ascii="宋体" w:hAnsi="宋体" w:cs="宋体"/>
          <w:bCs/>
          <w:color w:val="000000" w:themeColor="text1"/>
          <w:kern w:val="0"/>
          <w:sz w:val="21"/>
          <w:szCs w:val="21"/>
          <w14:textFill>
            <w14:solidFill>
              <w14:schemeClr w14:val="tx1"/>
            </w14:solidFill>
          </w14:textFill>
        </w:rPr>
        <w:t>通过了</w:t>
      </w:r>
      <w:r>
        <w:rPr>
          <w:rFonts w:hint="eastAsia" w:ascii="宋体" w:hAnsi="宋体" w:cs="宋体"/>
          <w:color w:val="000000" w:themeColor="text1"/>
          <w:kern w:val="0"/>
          <w:szCs w:val="21"/>
          <w:lang w:val="en-US" w:eastAsia="zh-CN"/>
          <w14:textFill>
            <w14:solidFill>
              <w14:schemeClr w14:val="tx1"/>
            </w14:solidFill>
          </w14:textFill>
        </w:rPr>
        <w:t>北京国标联合认证公司GB/T24001-2016环境管理体系首次认证。</w:t>
      </w:r>
      <w:r>
        <w:rPr>
          <w:rFonts w:hint="eastAsia" w:ascii="宋体" w:hAnsi="宋体" w:cs="宋体"/>
          <w:bCs/>
          <w:color w:val="000000" w:themeColor="text1"/>
          <w:kern w:val="0"/>
          <w:sz w:val="21"/>
          <w:szCs w:val="21"/>
          <w:lang w:val="en-US" w:eastAsia="zh-CN"/>
          <w14:textFill>
            <w14:solidFill>
              <w14:schemeClr w14:val="tx1"/>
            </w14:solidFill>
          </w14:textFill>
        </w:rPr>
        <w:t>证号：ISC-E-2019-0387，有效期至2022年10月28日。</w:t>
      </w:r>
      <w:r>
        <w:rPr>
          <w:rFonts w:hint="eastAsia" w:ascii="宋体" w:hAnsi="宋体" w:cs="宋体"/>
          <w:bCs/>
          <w:color w:val="000000" w:themeColor="text1"/>
          <w:kern w:val="0"/>
          <w:sz w:val="21"/>
          <w:szCs w:val="21"/>
          <w:lang w:eastAsia="zh-CN"/>
          <w14:textFill>
            <w14:solidFill>
              <w14:schemeClr w14:val="tx1"/>
            </w14:solidFill>
          </w14:textFill>
        </w:rPr>
        <w:t>陕西华强精密铸造有限公司</w:t>
      </w:r>
      <w:r>
        <w:rPr>
          <w:rFonts w:hint="eastAsia" w:ascii="宋体" w:hAnsi="宋体" w:cs="宋体"/>
          <w:bCs/>
          <w:color w:val="000000" w:themeColor="text1"/>
          <w:kern w:val="0"/>
          <w:sz w:val="21"/>
          <w:szCs w:val="21"/>
          <w14:textFill>
            <w14:solidFill>
              <w14:schemeClr w14:val="tx1"/>
            </w14:solidFill>
          </w14:textFill>
        </w:rPr>
        <w:t>测量管理体系的符合性、有效性及持续改进，符合GB/T 19022-2003标准要求，公司测量管理体系正常有序运行，较好地满足了公司生产、销售和持续发展的需要，企业效益逐年提升。</w:t>
      </w:r>
      <w:r>
        <w:rPr>
          <w:rFonts w:hint="eastAsia" w:ascii="宋体" w:hAnsi="宋体" w:cs="宋体"/>
          <w:bCs/>
          <w:color w:val="000000" w:themeColor="text1"/>
          <w:kern w:val="0"/>
          <w:sz w:val="21"/>
          <w:szCs w:val="21"/>
          <w:lang w:val="en-US" w:eastAsia="zh-CN"/>
          <w14:textFill>
            <w14:solidFill>
              <w14:schemeClr w14:val="tx1"/>
            </w14:solidFill>
          </w14:textFill>
        </w:rPr>
        <w:t>企业主要能耗为电和水。其中</w:t>
      </w:r>
      <w:r>
        <w:rPr>
          <w:rFonts w:hint="eastAsia" w:ascii="宋体" w:hAnsi="宋体"/>
          <w:color w:val="000000" w:themeColor="text1"/>
          <w:szCs w:val="21"/>
          <w:highlight w:val="none"/>
          <w14:textFill>
            <w14:solidFill>
              <w14:schemeClr w14:val="tx1"/>
            </w14:solidFill>
          </w14:textFill>
        </w:rPr>
        <w:t>201</w:t>
      </w:r>
      <w:r>
        <w:rPr>
          <w:rFonts w:hint="eastAsia" w:ascii="宋体" w:hAnsi="宋体"/>
          <w:color w:val="000000" w:themeColor="text1"/>
          <w:szCs w:val="21"/>
          <w:highlight w:val="none"/>
          <w:lang w:val="en-US"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lang w:val="en-US" w:eastAsia="zh-CN"/>
          <w14:textFill>
            <w14:solidFill>
              <w14:schemeClr w14:val="tx1"/>
            </w14:solidFill>
          </w14:textFill>
        </w:rPr>
        <w:t>10月至2020年8月</w:t>
      </w:r>
      <w:r>
        <w:rPr>
          <w:rFonts w:hint="eastAsia" w:ascii="宋体" w:hAnsi="宋体"/>
          <w:color w:val="000000" w:themeColor="text1"/>
          <w:szCs w:val="21"/>
          <w:highlight w:val="none"/>
          <w14:textFill>
            <w14:solidFill>
              <w14:schemeClr w14:val="tx1"/>
            </w14:solidFill>
          </w14:textFill>
        </w:rPr>
        <w:t>用电量</w:t>
      </w:r>
      <w:r>
        <w:rPr>
          <w:rFonts w:hint="eastAsia" w:ascii="宋体" w:hAnsi="宋体"/>
          <w:color w:val="000000" w:themeColor="text1"/>
          <w:szCs w:val="21"/>
          <w:highlight w:val="none"/>
          <w:lang w:val="en-US" w:eastAsia="zh-CN"/>
          <w14:textFill>
            <w14:solidFill>
              <w14:schemeClr w14:val="tx1"/>
            </w14:solidFill>
          </w14:textFill>
        </w:rPr>
        <w:t>170.2</w:t>
      </w:r>
      <w:r>
        <w:rPr>
          <w:rFonts w:hint="eastAsia" w:ascii="宋体" w:hAnsi="宋体"/>
          <w:color w:val="000000" w:themeColor="text1"/>
          <w:szCs w:val="21"/>
          <w:highlight w:val="none"/>
          <w14:textFill>
            <w14:solidFill>
              <w14:schemeClr w14:val="tx1"/>
            </w14:solidFill>
          </w14:textFill>
        </w:rPr>
        <w:t>万度； 水</w:t>
      </w:r>
      <w:r>
        <w:rPr>
          <w:rFonts w:hint="eastAsia" w:ascii="宋体" w:hAnsi="宋体"/>
          <w:color w:val="000000" w:themeColor="text1"/>
          <w:szCs w:val="21"/>
          <w:highlight w:val="none"/>
          <w:lang w:val="en-US" w:eastAsia="zh-CN"/>
          <w14:textFill>
            <w14:solidFill>
              <w14:schemeClr w14:val="tx1"/>
            </w14:solidFill>
          </w14:textFill>
        </w:rPr>
        <w:t>2946吨</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折算为210吨/标煤（0.02万吨/标煤）,</w:t>
      </w:r>
      <w:r>
        <w:rPr>
          <w:rFonts w:hint="eastAsia"/>
          <w:color w:val="000000" w:themeColor="text1"/>
          <w:lang w:eastAsia="zh-CN"/>
          <w14:textFill>
            <w14:solidFill>
              <w14:schemeClr w14:val="tx1"/>
            </w14:solidFill>
          </w14:textFill>
        </w:rPr>
        <w:t>不属于重点用能单位。</w:t>
      </w:r>
    </w:p>
    <w:p>
      <w:pPr>
        <w:widowControl/>
        <w:numPr>
          <w:ilvl w:val="0"/>
          <w:numId w:val="1"/>
        </w:numPr>
        <w:spacing w:line="360" w:lineRule="auto"/>
        <w:rPr>
          <w:rFonts w:cs="宋体" w:asciiTheme="minorEastAsia" w:hAnsiTheme="minorEastAsia"/>
          <w:bCs/>
          <w:kern w:val="0"/>
          <w:szCs w:val="21"/>
        </w:rPr>
      </w:pP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widowControl/>
        <w:spacing w:line="360" w:lineRule="auto"/>
        <w:rPr>
          <w:rFonts w:ascii="宋体"/>
          <w:sz w:val="21"/>
          <w:szCs w:val="21"/>
        </w:rPr>
      </w:pPr>
      <w:r>
        <w:rPr>
          <w:rFonts w:ascii="宋体" w:hAnsi="宋体" w:cs="宋体"/>
          <w:bCs/>
          <w:kern w:val="0"/>
          <w:sz w:val="21"/>
          <w:szCs w:val="21"/>
        </w:rPr>
        <w:t>3.1</w:t>
      </w:r>
      <w:r>
        <w:rPr>
          <w:rFonts w:hint="eastAsia" w:ascii="宋体" w:hAnsi="宋体"/>
          <w:sz w:val="21"/>
          <w:szCs w:val="21"/>
        </w:rPr>
        <w:t>公司的测量体系内审：</w:t>
      </w:r>
    </w:p>
    <w:p>
      <w:pPr>
        <w:widowControl/>
        <w:spacing w:line="360" w:lineRule="auto"/>
        <w:ind w:firstLine="420"/>
        <w:rPr>
          <w:rStyle w:val="9"/>
          <w:rFonts w:ascii="宋体" w:eastAsia="宋体" w:cs="黑体"/>
          <w:color w:val="FF6600"/>
          <w:sz w:val="21"/>
          <w:szCs w:val="21"/>
        </w:rPr>
      </w:pPr>
      <w:r>
        <w:rPr>
          <w:rFonts w:hint="eastAsia" w:ascii="宋体" w:hAnsi="宋体" w:cs="宋体"/>
          <w:bCs/>
          <w:color w:val="000000" w:themeColor="text1"/>
          <w:kern w:val="0"/>
          <w:sz w:val="21"/>
          <w:szCs w:val="21"/>
          <w14:textFill>
            <w14:solidFill>
              <w14:schemeClr w14:val="tx1"/>
            </w14:solidFill>
          </w14:textFill>
        </w:rPr>
        <w:t>为了充分验证公司测量管理体系运行的符合性、有效性及持续改进，根据公司</w:t>
      </w:r>
      <w:r>
        <w:rPr>
          <w:rFonts w:ascii="宋体" w:hAnsi="宋体" w:cs="宋体"/>
          <w:bCs/>
          <w:color w:val="000000" w:themeColor="text1"/>
          <w:kern w:val="0"/>
          <w:sz w:val="21"/>
          <w:szCs w:val="21"/>
          <w14:textFill>
            <w14:solidFill>
              <w14:schemeClr w14:val="tx1"/>
            </w14:solidFill>
          </w14:textFill>
        </w:rPr>
        <w:t>20</w:t>
      </w:r>
      <w:r>
        <w:rPr>
          <w:rFonts w:hint="eastAsia" w:ascii="宋体" w:hAnsi="宋体" w:cs="宋体"/>
          <w:bCs/>
          <w:color w:val="000000" w:themeColor="text1"/>
          <w:kern w:val="0"/>
          <w:sz w:val="21"/>
          <w:szCs w:val="21"/>
          <w:lang w:val="en-US" w:eastAsia="zh-CN"/>
          <w14:textFill>
            <w14:solidFill>
              <w14:schemeClr w14:val="tx1"/>
            </w14:solidFill>
          </w14:textFill>
        </w:rPr>
        <w:t>20</w:t>
      </w:r>
      <w:r>
        <w:rPr>
          <w:rFonts w:hint="eastAsia" w:ascii="宋体" w:hAnsi="宋体" w:cs="宋体"/>
          <w:bCs/>
          <w:color w:val="000000" w:themeColor="text1"/>
          <w:kern w:val="0"/>
          <w:sz w:val="21"/>
          <w:szCs w:val="21"/>
          <w14:textFill>
            <w14:solidFill>
              <w14:schemeClr w14:val="tx1"/>
            </w14:solidFill>
          </w14:textFill>
        </w:rPr>
        <w:t>年度</w:t>
      </w:r>
      <w:r>
        <w:rPr>
          <w:rFonts w:hint="eastAsia" w:ascii="宋体" w:hAnsi="宋体" w:cs="宋体"/>
          <w:bCs/>
          <w:color w:val="000000" w:themeColor="text1"/>
          <w:kern w:val="0"/>
          <w:sz w:val="21"/>
          <w:szCs w:val="21"/>
          <w:lang w:val="en-US" w:eastAsia="zh-CN"/>
          <w14:textFill>
            <w14:solidFill>
              <w14:schemeClr w14:val="tx1"/>
            </w14:solidFill>
          </w14:textFill>
        </w:rPr>
        <w:t>测量管理体系审核</w:t>
      </w:r>
      <w:r>
        <w:rPr>
          <w:rFonts w:hint="eastAsia" w:ascii="宋体" w:hAnsi="宋体" w:cs="宋体"/>
          <w:bCs/>
          <w:color w:val="000000" w:themeColor="text1"/>
          <w:kern w:val="0"/>
          <w:sz w:val="21"/>
          <w:szCs w:val="21"/>
          <w14:textFill>
            <w14:solidFill>
              <w14:schemeClr w14:val="tx1"/>
            </w14:solidFill>
          </w14:textFill>
        </w:rPr>
        <w:t>工作计划，于</w:t>
      </w:r>
      <w:r>
        <w:rPr>
          <w:rFonts w:hint="eastAsia" w:ascii="宋体" w:hAnsi="宋体"/>
          <w:bCs/>
          <w:color w:val="000000" w:themeColor="text1"/>
          <w:szCs w:val="21"/>
          <w14:textFill>
            <w14:solidFill>
              <w14:schemeClr w14:val="tx1"/>
            </w14:solidFill>
          </w14:textFill>
        </w:rPr>
        <w:t>20</w:t>
      </w:r>
      <w:r>
        <w:rPr>
          <w:rFonts w:hint="eastAsia" w:ascii="宋体" w:hAnsi="宋体"/>
          <w:bCs/>
          <w:color w:val="000000" w:themeColor="text1"/>
          <w:szCs w:val="21"/>
          <w:lang w:val="en-US" w:eastAsia="zh-CN"/>
          <w14:textFill>
            <w14:solidFill>
              <w14:schemeClr w14:val="tx1"/>
            </w14:solidFill>
          </w14:textFill>
        </w:rPr>
        <w:t>20</w:t>
      </w:r>
      <w:r>
        <w:rPr>
          <w:rFonts w:hint="eastAsia" w:ascii="宋体" w:hAnsi="宋体"/>
          <w:bCs/>
          <w:color w:val="000000" w:themeColor="text1"/>
          <w:szCs w:val="21"/>
          <w14:textFill>
            <w14:solidFill>
              <w14:schemeClr w14:val="tx1"/>
            </w14:solidFill>
          </w14:textFill>
        </w:rPr>
        <w:t>年</w:t>
      </w:r>
      <w:r>
        <w:rPr>
          <w:rFonts w:hint="eastAsia" w:ascii="宋体" w:hAnsi="宋体"/>
          <w:bCs/>
          <w:color w:val="000000" w:themeColor="text1"/>
          <w:szCs w:val="21"/>
          <w:lang w:val="en-US" w:eastAsia="zh-CN"/>
          <w14:textFill>
            <w14:solidFill>
              <w14:schemeClr w14:val="tx1"/>
            </w14:solidFill>
          </w14:textFill>
        </w:rPr>
        <w:t>6</w:t>
      </w:r>
      <w:r>
        <w:rPr>
          <w:rFonts w:hint="eastAsia" w:ascii="宋体" w:hAnsi="宋体"/>
          <w:bCs/>
          <w:color w:val="000000" w:themeColor="text1"/>
          <w:szCs w:val="21"/>
          <w14:textFill>
            <w14:solidFill>
              <w14:schemeClr w14:val="tx1"/>
            </w14:solidFill>
          </w14:textFill>
        </w:rPr>
        <w:t>月</w:t>
      </w:r>
      <w:r>
        <w:rPr>
          <w:rFonts w:hint="eastAsia" w:ascii="宋体" w:hAnsi="宋体"/>
          <w:bCs/>
          <w:color w:val="000000" w:themeColor="text1"/>
          <w:szCs w:val="21"/>
          <w:lang w:val="en-US" w:eastAsia="zh-CN"/>
          <w14:textFill>
            <w14:solidFill>
              <w14:schemeClr w14:val="tx1"/>
            </w14:solidFill>
          </w14:textFill>
        </w:rPr>
        <w:t>1-2</w:t>
      </w:r>
      <w:r>
        <w:rPr>
          <w:rFonts w:hint="eastAsia" w:ascii="宋体" w:hAnsi="宋体"/>
          <w:bCs/>
          <w:color w:val="000000" w:themeColor="text1"/>
          <w:szCs w:val="21"/>
          <w14:textFill>
            <w14:solidFill>
              <w14:schemeClr w14:val="tx1"/>
            </w14:solidFill>
          </w14:textFill>
        </w:rPr>
        <w:t>日</w:t>
      </w:r>
      <w:r>
        <w:rPr>
          <w:rFonts w:hint="eastAsia" w:ascii="宋体" w:hAnsi="宋体"/>
          <w:bCs/>
          <w:color w:val="000000" w:themeColor="text1"/>
          <w:szCs w:val="21"/>
          <w14:textFill>
            <w14:solidFill>
              <w14:schemeClr w14:val="tx1"/>
            </w14:solidFill>
          </w14:textFill>
        </w:rPr>
        <w:t>，</w:t>
      </w:r>
      <w:r>
        <w:rPr>
          <w:rFonts w:hint="eastAsia" w:ascii="宋体" w:hAnsi="宋体" w:cs="宋体"/>
          <w:bCs/>
          <w:color w:val="000000" w:themeColor="text1"/>
          <w:kern w:val="0"/>
          <w:sz w:val="21"/>
          <w:szCs w:val="21"/>
          <w14:textFill>
            <w14:solidFill>
              <w14:schemeClr w14:val="tx1"/>
            </w14:solidFill>
          </w14:textFill>
        </w:rPr>
        <w:t>公司进行了年度测量管理体系</w:t>
      </w:r>
      <w:r>
        <w:rPr>
          <w:rFonts w:hint="eastAsia" w:ascii="宋体" w:hAnsi="宋体"/>
          <w:bCs/>
          <w:color w:val="000000" w:themeColor="text1"/>
          <w:sz w:val="21"/>
          <w:szCs w:val="21"/>
          <w14:textFill>
            <w14:solidFill>
              <w14:schemeClr w14:val="tx1"/>
            </w14:solidFill>
          </w14:textFill>
        </w:rPr>
        <w:t>内部审核工作</w:t>
      </w:r>
      <w:r>
        <w:rPr>
          <w:rFonts w:hint="eastAsia"/>
          <w:color w:val="000000" w:themeColor="text1"/>
          <w:sz w:val="21"/>
          <w:szCs w:val="21"/>
          <w14:textFill>
            <w14:solidFill>
              <w14:schemeClr w14:val="tx1"/>
            </w14:solidFill>
          </w14:textFill>
        </w:rPr>
        <w:t>。</w:t>
      </w:r>
      <w:r>
        <w:rPr>
          <w:rStyle w:val="9"/>
          <w:rFonts w:hint="eastAsia" w:ascii="宋体" w:eastAsia="宋体" w:cs="黑体"/>
          <w:color w:val="000000" w:themeColor="text1"/>
          <w:sz w:val="21"/>
          <w:szCs w:val="21"/>
          <w14:textFill>
            <w14:solidFill>
              <w14:schemeClr w14:val="tx1"/>
            </w14:solidFill>
          </w14:textFill>
        </w:rPr>
        <w:t>按</w:t>
      </w:r>
      <w:r>
        <w:rPr>
          <w:rStyle w:val="9"/>
          <w:rFonts w:ascii="宋体" w:eastAsia="宋体" w:cs="黑体"/>
          <w:color w:val="000000" w:themeColor="text1"/>
          <w:sz w:val="21"/>
          <w:szCs w:val="21"/>
          <w14:textFill>
            <w14:solidFill>
              <w14:schemeClr w14:val="tx1"/>
            </w14:solidFill>
          </w14:textFill>
        </w:rPr>
        <w:t>GB/T 19022-2003</w:t>
      </w:r>
      <w:r>
        <w:rPr>
          <w:rStyle w:val="9"/>
          <w:rFonts w:hint="eastAsia" w:ascii="宋体" w:eastAsia="宋体" w:cs="黑体"/>
          <w:color w:val="000000" w:themeColor="text1"/>
          <w:sz w:val="21"/>
          <w:szCs w:val="21"/>
          <w14:textFill>
            <w14:solidFill>
              <w14:schemeClr w14:val="tx1"/>
            </w14:solidFill>
          </w14:textFill>
        </w:rPr>
        <w:t>标准的要素要求，审核共涉及了</w:t>
      </w:r>
      <w:r>
        <w:rPr>
          <w:rStyle w:val="9"/>
          <w:rFonts w:hint="eastAsia" w:ascii="宋体" w:eastAsia="宋体" w:cs="黑体"/>
          <w:color w:val="000000" w:themeColor="text1"/>
          <w:sz w:val="21"/>
          <w:szCs w:val="21"/>
          <w:lang w:val="en-US" w:eastAsia="zh-CN"/>
          <w14:textFill>
            <w14:solidFill>
              <w14:schemeClr w14:val="tx1"/>
            </w14:solidFill>
          </w14:textFill>
        </w:rPr>
        <w:t>4</w:t>
      </w:r>
      <w:r>
        <w:rPr>
          <w:rFonts w:hint="eastAsia" w:ascii="宋体" w:hAnsi="宋体"/>
          <w:bCs/>
          <w:color w:val="000000" w:themeColor="text1"/>
          <w:szCs w:val="21"/>
          <w14:textFill>
            <w14:solidFill>
              <w14:schemeClr w14:val="tx1"/>
            </w14:solidFill>
          </w14:textFill>
        </w:rPr>
        <w:t>个</w:t>
      </w:r>
      <w:r>
        <w:rPr>
          <w:rFonts w:hint="eastAsia" w:ascii="宋体" w:hAnsi="宋体"/>
          <w:bCs/>
          <w:color w:val="000000" w:themeColor="text1"/>
          <w:szCs w:val="21"/>
          <w:lang w:val="en-US" w:eastAsia="zh-CN"/>
          <w14:textFill>
            <w14:solidFill>
              <w14:schemeClr w14:val="tx1"/>
            </w14:solidFill>
          </w14:textFill>
        </w:rPr>
        <w:t>职能</w:t>
      </w:r>
      <w:r>
        <w:rPr>
          <w:rFonts w:hint="eastAsia" w:ascii="宋体" w:hAnsi="宋体"/>
          <w:bCs/>
          <w:color w:val="000000" w:themeColor="text1"/>
          <w:szCs w:val="21"/>
          <w14:textFill>
            <w14:solidFill>
              <w14:schemeClr w14:val="tx1"/>
            </w14:solidFill>
          </w14:textFill>
        </w:rPr>
        <w:t>部门进行了全要素的审核</w:t>
      </w:r>
      <w:r>
        <w:rPr>
          <w:rFonts w:hint="eastAsia" w:ascii="宋体" w:hAnsi="宋体"/>
          <w:bCs/>
          <w:color w:val="000000" w:themeColor="text1"/>
          <w:szCs w:val="21"/>
          <w:lang w:eastAsia="zh-CN"/>
          <w14:textFill>
            <w14:solidFill>
              <w14:schemeClr w14:val="tx1"/>
            </w14:solidFill>
          </w14:textFill>
        </w:rPr>
        <w:t>，</w:t>
      </w:r>
      <w:r>
        <w:rPr>
          <w:rFonts w:ascii="宋体" w:hAnsi="宋体"/>
          <w:bCs/>
          <w:color w:val="000000" w:themeColor="text1"/>
          <w:szCs w:val="21"/>
          <w14:textFill>
            <w14:solidFill>
              <w14:schemeClr w14:val="tx1"/>
            </w14:solidFill>
          </w14:textFill>
        </w:rPr>
        <w:t>共开</w:t>
      </w:r>
      <w:r>
        <w:rPr>
          <w:rFonts w:hint="eastAsia" w:ascii="宋体" w:hAnsi="宋体"/>
          <w:bCs/>
          <w:color w:val="000000" w:themeColor="text1"/>
          <w:szCs w:val="21"/>
          <w:lang w:val="en-US" w:eastAsia="zh-CN"/>
          <w14:textFill>
            <w14:solidFill>
              <w14:schemeClr w14:val="tx1"/>
            </w14:solidFill>
          </w14:textFill>
        </w:rPr>
        <w:t>出2个</w:t>
      </w:r>
      <w:r>
        <w:rPr>
          <w:rFonts w:hint="eastAsia" w:ascii="宋体" w:hAnsi="宋体"/>
          <w:bCs/>
          <w:color w:val="000000" w:themeColor="text1"/>
          <w:szCs w:val="21"/>
          <w14:textFill>
            <w14:solidFill>
              <w14:schemeClr w14:val="tx1"/>
            </w14:solidFill>
          </w14:textFill>
        </w:rPr>
        <w:t>不</w:t>
      </w:r>
      <w:r>
        <w:rPr>
          <w:rFonts w:ascii="宋体" w:hAnsi="宋体"/>
          <w:bCs/>
          <w:color w:val="000000" w:themeColor="text1"/>
          <w:szCs w:val="21"/>
          <w14:textFill>
            <w14:solidFill>
              <w14:schemeClr w14:val="tx1"/>
            </w14:solidFill>
          </w14:textFill>
        </w:rPr>
        <w:t>符合项</w:t>
      </w: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提出了2个改进建议项，</w:t>
      </w:r>
      <w:r>
        <w:rPr>
          <w:rStyle w:val="9"/>
          <w:rFonts w:hint="eastAsia" w:ascii="宋体" w:eastAsia="宋体" w:cs="黑体"/>
          <w:color w:val="000000" w:themeColor="text1"/>
          <w:sz w:val="21"/>
          <w:szCs w:val="21"/>
          <w14:textFill>
            <w14:solidFill>
              <w14:schemeClr w14:val="tx1"/>
            </w14:solidFill>
          </w14:textFill>
        </w:rPr>
        <w:t>对内审发现的问题，制定了有效的纠正措施。</w:t>
      </w:r>
      <w:r>
        <w:rPr>
          <w:color w:val="000000" w:themeColor="text1"/>
          <w:sz w:val="21"/>
          <w:szCs w:val="21"/>
          <w14:textFill>
            <w14:solidFill>
              <w14:schemeClr w14:val="tx1"/>
            </w14:solidFill>
          </w14:textFill>
        </w:rPr>
        <w:t>20</w:t>
      </w:r>
      <w:r>
        <w:rPr>
          <w:rFonts w:hint="eastAsia"/>
          <w:color w:val="000000" w:themeColor="text1"/>
          <w:sz w:val="21"/>
          <w:szCs w:val="21"/>
          <w:lang w:val="en-US" w:eastAsia="zh-CN"/>
          <w14:textFill>
            <w14:solidFill>
              <w14:schemeClr w14:val="tx1"/>
            </w14:solidFill>
          </w14:textFill>
        </w:rPr>
        <w:t>20</w:t>
      </w:r>
      <w:r>
        <w:rPr>
          <w:rFonts w:hint="eastAsia"/>
          <w:color w:val="000000" w:themeColor="text1"/>
          <w:sz w:val="21"/>
          <w:szCs w:val="21"/>
          <w14:textFill>
            <w14:solidFill>
              <w14:schemeClr w14:val="tx1"/>
            </w14:solidFill>
          </w14:textFill>
        </w:rPr>
        <w:t>年</w:t>
      </w:r>
      <w:r>
        <w:rPr>
          <w:rFonts w:hint="eastAsia"/>
          <w:color w:val="000000" w:themeColor="text1"/>
          <w:sz w:val="21"/>
          <w:szCs w:val="21"/>
          <w:lang w:val="en-US" w:eastAsia="zh-CN"/>
          <w14:textFill>
            <w14:solidFill>
              <w14:schemeClr w14:val="tx1"/>
            </w14:solidFill>
          </w14:textFill>
        </w:rPr>
        <w:t>6</w:t>
      </w:r>
      <w:r>
        <w:rPr>
          <w:rFonts w:hint="eastAsia"/>
          <w:color w:val="000000" w:themeColor="text1"/>
          <w:sz w:val="21"/>
          <w:szCs w:val="21"/>
          <w14:textFill>
            <w14:solidFill>
              <w14:schemeClr w14:val="tx1"/>
            </w14:solidFill>
          </w14:textFill>
        </w:rPr>
        <w:t>月</w:t>
      </w:r>
      <w:r>
        <w:rPr>
          <w:rFonts w:hint="eastAsia"/>
          <w:color w:val="000000" w:themeColor="text1"/>
          <w:sz w:val="21"/>
          <w:szCs w:val="21"/>
          <w:lang w:val="en-US" w:eastAsia="zh-CN"/>
          <w14:textFill>
            <w14:solidFill>
              <w14:schemeClr w14:val="tx1"/>
            </w14:solidFill>
          </w14:textFill>
        </w:rPr>
        <w:t>6日前</w:t>
      </w:r>
      <w:r>
        <w:rPr>
          <w:rFonts w:hint="eastAsia"/>
          <w:color w:val="000000" w:themeColor="text1"/>
          <w:sz w:val="21"/>
          <w:szCs w:val="21"/>
          <w14:textFill>
            <w14:solidFill>
              <w14:schemeClr w14:val="tx1"/>
            </w14:solidFill>
          </w14:textFill>
        </w:rPr>
        <w:t>，所有</w:t>
      </w:r>
      <w:r>
        <w:rPr>
          <w:rFonts w:hint="eastAsia"/>
          <w:color w:val="000000" w:themeColor="text1"/>
          <w:sz w:val="21"/>
          <w:szCs w:val="21"/>
          <w:lang w:val="en-US" w:eastAsia="zh-CN"/>
          <w14:textFill>
            <w14:solidFill>
              <w14:schemeClr w14:val="tx1"/>
            </w14:solidFill>
          </w14:textFill>
        </w:rPr>
        <w:t>问题</w:t>
      </w:r>
      <w:r>
        <w:rPr>
          <w:rStyle w:val="9"/>
          <w:rFonts w:hint="eastAsia" w:ascii="宋体" w:eastAsia="宋体" w:cs="黑体"/>
          <w:color w:val="000000" w:themeColor="text1"/>
          <w:sz w:val="21"/>
          <w:szCs w:val="21"/>
          <w14:textFill>
            <w14:solidFill>
              <w14:schemeClr w14:val="tx1"/>
            </w14:solidFill>
          </w14:textFill>
        </w:rPr>
        <w:t>项，均按其预防、纠正措施及时整改完成并跟踪验收，验收合格后有效关闭。</w:t>
      </w:r>
      <w:r>
        <w:rPr>
          <w:rStyle w:val="9"/>
          <w:rFonts w:ascii="宋体" w:eastAsia="宋体" w:cs="黑体"/>
          <w:color w:val="FF6600"/>
          <w:sz w:val="21"/>
          <w:szCs w:val="21"/>
        </w:rPr>
        <w:t xml:space="preserve"> </w:t>
      </w:r>
    </w:p>
    <w:p>
      <w:pPr>
        <w:widowControl/>
        <w:spacing w:line="360" w:lineRule="auto"/>
        <w:rPr>
          <w:rFonts w:asci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3.2</w:t>
      </w:r>
      <w:r>
        <w:rPr>
          <w:rFonts w:hint="eastAsia" w:ascii="宋体" w:hAnsi="宋体"/>
          <w:color w:val="000000" w:themeColor="text1"/>
          <w:sz w:val="21"/>
          <w:szCs w:val="21"/>
          <w14:textFill>
            <w14:solidFill>
              <w14:schemeClr w14:val="tx1"/>
            </w14:solidFill>
          </w14:textFill>
        </w:rPr>
        <w:t>、公司的测量体系管理评审：</w:t>
      </w:r>
    </w:p>
    <w:p>
      <w:pPr>
        <w:spacing w:line="460" w:lineRule="exact"/>
        <w:ind w:firstLine="420" w:firstLineChars="200"/>
        <w:rPr>
          <w:rFonts w:cs="宋体" w:asciiTheme="minorEastAsia" w:hAnsiTheme="minorEastAsia"/>
          <w:bCs/>
          <w:color w:val="000000" w:themeColor="text1"/>
          <w:kern w:val="0"/>
          <w:szCs w:val="21"/>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 xml:space="preserve">    </w:t>
      </w:r>
      <w:r>
        <w:rPr>
          <w:rFonts w:hint="eastAsia" w:ascii="宋体" w:hAnsi="宋体" w:cs="宋体"/>
          <w:bCs/>
          <w:color w:val="000000" w:themeColor="text1"/>
          <w:kern w:val="0"/>
          <w:sz w:val="21"/>
          <w:szCs w:val="21"/>
          <w14:textFill>
            <w14:solidFill>
              <w14:schemeClr w14:val="tx1"/>
            </w14:solidFill>
          </w14:textFill>
        </w:rPr>
        <w:t>公司领导层，为了系统的了解和自我评价公司测量管理体系一年内运行情况，在测量管理体系</w:t>
      </w:r>
      <w:r>
        <w:rPr>
          <w:rFonts w:hint="eastAsia" w:ascii="宋体" w:hAnsi="宋体"/>
          <w:bCs/>
          <w:color w:val="000000" w:themeColor="text1"/>
          <w:sz w:val="21"/>
          <w:szCs w:val="21"/>
          <w14:textFill>
            <w14:solidFill>
              <w14:schemeClr w14:val="tx1"/>
            </w14:solidFill>
          </w14:textFill>
        </w:rPr>
        <w:t>内部审核结束后，由管理者代表牵头组织，策划制定了管理评审计划并实施。</w:t>
      </w:r>
      <w:r>
        <w:rPr>
          <w:rFonts w:ascii="宋体" w:hAnsi="宋体" w:cs="宋体"/>
          <w:bCs/>
          <w:color w:val="000000" w:themeColor="text1"/>
          <w:kern w:val="0"/>
          <w:sz w:val="21"/>
          <w:szCs w:val="21"/>
          <w14:textFill>
            <w14:solidFill>
              <w14:schemeClr w14:val="tx1"/>
            </w14:solidFill>
          </w14:textFill>
        </w:rPr>
        <w:t>20</w:t>
      </w:r>
      <w:r>
        <w:rPr>
          <w:rFonts w:hint="eastAsia" w:ascii="宋体" w:hAnsi="宋体" w:cs="宋体"/>
          <w:bCs/>
          <w:color w:val="000000" w:themeColor="text1"/>
          <w:kern w:val="0"/>
          <w:sz w:val="21"/>
          <w:szCs w:val="21"/>
          <w:lang w:val="en-US" w:eastAsia="zh-CN"/>
          <w14:textFill>
            <w14:solidFill>
              <w14:schemeClr w14:val="tx1"/>
            </w14:solidFill>
          </w14:textFill>
        </w:rPr>
        <w:t>20</w:t>
      </w:r>
      <w:r>
        <w:rPr>
          <w:rFonts w:hint="eastAsia" w:ascii="宋体" w:hAnsi="宋体" w:cs="宋体"/>
          <w:bCs/>
          <w:color w:val="000000" w:themeColor="text1"/>
          <w:kern w:val="0"/>
          <w:sz w:val="21"/>
          <w:szCs w:val="21"/>
          <w14:textFill>
            <w14:solidFill>
              <w14:schemeClr w14:val="tx1"/>
            </w14:solidFill>
          </w14:textFill>
        </w:rPr>
        <w:t>年</w:t>
      </w:r>
      <w:r>
        <w:rPr>
          <w:rFonts w:hint="eastAsia" w:ascii="宋体" w:hAnsi="宋体" w:cs="宋体"/>
          <w:bCs/>
          <w:color w:val="000000" w:themeColor="text1"/>
          <w:kern w:val="0"/>
          <w:sz w:val="21"/>
          <w:szCs w:val="21"/>
          <w:lang w:val="en-US" w:eastAsia="zh-CN"/>
          <w14:textFill>
            <w14:solidFill>
              <w14:schemeClr w14:val="tx1"/>
            </w14:solidFill>
          </w14:textFill>
        </w:rPr>
        <w:t>6</w:t>
      </w:r>
      <w:r>
        <w:rPr>
          <w:rFonts w:hint="eastAsia" w:ascii="宋体" w:hAnsi="宋体" w:cs="宋体"/>
          <w:bCs/>
          <w:color w:val="000000" w:themeColor="text1"/>
          <w:kern w:val="0"/>
          <w:sz w:val="21"/>
          <w:szCs w:val="21"/>
          <w14:textFill>
            <w14:solidFill>
              <w14:schemeClr w14:val="tx1"/>
            </w14:solidFill>
          </w14:textFill>
        </w:rPr>
        <w:t>月</w:t>
      </w:r>
      <w:r>
        <w:rPr>
          <w:rFonts w:hint="eastAsia" w:ascii="宋体" w:hAnsi="宋体" w:cs="宋体"/>
          <w:bCs/>
          <w:color w:val="000000" w:themeColor="text1"/>
          <w:kern w:val="0"/>
          <w:sz w:val="21"/>
          <w:szCs w:val="21"/>
          <w:lang w:val="en-US" w:eastAsia="zh-CN"/>
          <w14:textFill>
            <w14:solidFill>
              <w14:schemeClr w14:val="tx1"/>
            </w14:solidFill>
          </w14:textFill>
        </w:rPr>
        <w:t>12</w:t>
      </w:r>
      <w:r>
        <w:rPr>
          <w:rFonts w:hint="eastAsia" w:ascii="宋体" w:hAnsi="宋体" w:cs="宋体"/>
          <w:bCs/>
          <w:color w:val="000000" w:themeColor="text1"/>
          <w:kern w:val="0"/>
          <w:sz w:val="21"/>
          <w:szCs w:val="21"/>
          <w14:textFill>
            <w14:solidFill>
              <w14:schemeClr w14:val="tx1"/>
            </w14:solidFill>
          </w14:textFill>
        </w:rPr>
        <w:t>日</w:t>
      </w:r>
      <w:r>
        <w:rPr>
          <w:rFonts w:hint="eastAsia" w:ascii="宋体" w:hAnsi="宋体" w:cs="宋体"/>
          <w:bCs/>
          <w:color w:val="000000" w:themeColor="text1"/>
          <w:kern w:val="0"/>
          <w:sz w:val="21"/>
          <w:szCs w:val="21"/>
          <w14:textFill>
            <w14:solidFill>
              <w14:schemeClr w14:val="tx1"/>
            </w14:solidFill>
          </w14:textFill>
        </w:rPr>
        <w:t>，</w:t>
      </w:r>
      <w:r>
        <w:rPr>
          <w:rFonts w:ascii="宋体" w:hAnsi="宋体" w:cs="黑体"/>
          <w:color w:val="000000" w:themeColor="text1"/>
          <w:szCs w:val="21"/>
          <w:highlight w:val="none"/>
          <w14:textFill>
            <w14:solidFill>
              <w14:schemeClr w14:val="tx1"/>
            </w14:solidFill>
          </w14:textFill>
        </w:rPr>
        <w:t>由</w:t>
      </w:r>
      <w:r>
        <w:rPr>
          <w:rFonts w:hint="eastAsia" w:ascii="宋体" w:hAnsi="宋体" w:cs="黑体"/>
          <w:color w:val="000000" w:themeColor="text1"/>
          <w:szCs w:val="21"/>
          <w:highlight w:val="none"/>
          <w14:textFill>
            <w14:solidFill>
              <w14:schemeClr w14:val="tx1"/>
            </w14:solidFill>
          </w14:textFill>
        </w:rPr>
        <w:t>公司总经理</w:t>
      </w:r>
      <w:r>
        <w:rPr>
          <w:rFonts w:hint="eastAsia" w:ascii="宋体" w:hAnsi="宋体" w:cs="黑体"/>
          <w:color w:val="000000" w:themeColor="text1"/>
          <w:szCs w:val="21"/>
          <w:highlight w:val="none"/>
          <w:lang w:val="en-US" w:eastAsia="zh-CN"/>
          <w14:textFill>
            <w14:solidFill>
              <w14:schemeClr w14:val="tx1"/>
            </w14:solidFill>
          </w14:textFill>
        </w:rPr>
        <w:t>何林岐</w:t>
      </w:r>
      <w:r>
        <w:rPr>
          <w:rFonts w:hint="eastAsia" w:ascii="宋体" w:hAnsi="宋体" w:cs="黑体"/>
          <w:color w:val="000000" w:themeColor="text1"/>
          <w:szCs w:val="21"/>
          <w:highlight w:val="none"/>
          <w14:textFill>
            <w14:solidFill>
              <w14:schemeClr w14:val="tx1"/>
            </w14:solidFill>
          </w14:textFill>
        </w:rPr>
        <w:t>主持，</w:t>
      </w:r>
      <w:r>
        <w:rPr>
          <w:rFonts w:hint="eastAsia" w:ascii="宋体" w:hAnsi="宋体"/>
          <w:bCs/>
          <w:color w:val="000000" w:themeColor="text1"/>
          <w:sz w:val="21"/>
          <w:szCs w:val="21"/>
          <w14:textFill>
            <w14:solidFill>
              <w14:schemeClr w14:val="tx1"/>
            </w14:solidFill>
          </w14:textFill>
        </w:rPr>
        <w:t>公司召集</w:t>
      </w:r>
      <w:r>
        <w:rPr>
          <w:rFonts w:hint="eastAsia" w:ascii="宋体" w:hAnsi="宋体" w:cs="宋体"/>
          <w:bCs/>
          <w:color w:val="000000" w:themeColor="text1"/>
          <w:kern w:val="0"/>
          <w:sz w:val="21"/>
          <w:szCs w:val="21"/>
          <w14:textFill>
            <w14:solidFill>
              <w14:schemeClr w14:val="tx1"/>
            </w14:solidFill>
          </w14:textFill>
        </w:rPr>
        <w:t>测量管理体系</w:t>
      </w:r>
      <w:r>
        <w:rPr>
          <w:rStyle w:val="9"/>
          <w:rFonts w:hint="eastAsia" w:ascii="宋体" w:eastAsia="宋体" w:cs="黑体"/>
          <w:color w:val="000000" w:themeColor="text1"/>
          <w:sz w:val="21"/>
          <w:szCs w:val="21"/>
          <w14:textFill>
            <w14:solidFill>
              <w14:schemeClr w14:val="tx1"/>
            </w14:solidFill>
          </w14:textFill>
        </w:rPr>
        <w:t>职能部门和相关部门领导参加的评审会议。</w:t>
      </w:r>
      <w:r>
        <w:rPr>
          <w:rFonts w:hint="eastAsia"/>
          <w:bCs/>
          <w:color w:val="000000" w:themeColor="text1"/>
          <w:szCs w:val="21"/>
          <w14:textFill>
            <w14:solidFill>
              <w14:schemeClr w14:val="tx1"/>
            </w14:solidFill>
          </w14:textFill>
        </w:rPr>
        <w:t>管理者代表</w:t>
      </w:r>
      <w:r>
        <w:rPr>
          <w:rFonts w:hint="eastAsia" w:ascii="宋体" w:hAnsi="宋体" w:cs="黑体"/>
          <w:color w:val="000000"/>
          <w:szCs w:val="21"/>
          <w:highlight w:val="none"/>
          <w:lang w:val="en-US" w:eastAsia="zh-CN"/>
        </w:rPr>
        <w:t>梁田田</w:t>
      </w:r>
      <w:r>
        <w:rPr>
          <w:rFonts w:hint="eastAsia" w:ascii="宋体" w:hAnsi="宋体"/>
          <w:bCs/>
          <w:color w:val="000000" w:themeColor="text1"/>
          <w:szCs w:val="21"/>
          <w14:textFill>
            <w14:solidFill>
              <w14:schemeClr w14:val="tx1"/>
            </w14:solidFill>
          </w14:textFill>
        </w:rPr>
        <w:t>汇报了体系运行情况</w:t>
      </w:r>
      <w:r>
        <w:rPr>
          <w:rFonts w:hint="eastAsia" w:ascii="宋体" w:hAnsi="宋体"/>
          <w:bCs/>
          <w:color w:val="000000" w:themeColor="text1"/>
          <w:szCs w:val="21"/>
          <w:lang w:eastAsia="zh-CN"/>
          <w14:textFill>
            <w14:solidFill>
              <w14:schemeClr w14:val="tx1"/>
            </w14:solidFill>
          </w14:textFill>
        </w:rPr>
        <w:t>，</w:t>
      </w:r>
      <w:r>
        <w:rPr>
          <w:rFonts w:hint="eastAsia"/>
          <w:bCs/>
          <w:color w:val="000000" w:themeColor="text1"/>
          <w:szCs w:val="21"/>
          <w:lang w:val="en-US" w:eastAsia="zh-CN"/>
          <w14:textFill>
            <w14:solidFill>
              <w14:schemeClr w14:val="tx1"/>
            </w14:solidFill>
          </w14:textFill>
        </w:rPr>
        <w:t>对</w:t>
      </w:r>
      <w:r>
        <w:rPr>
          <w:rStyle w:val="9"/>
          <w:rFonts w:hint="eastAsia" w:ascii="宋体" w:eastAsia="宋体" w:cs="黑体"/>
          <w:color w:val="000000" w:themeColor="text1"/>
          <w:sz w:val="21"/>
          <w:szCs w:val="21"/>
          <w14:textFill>
            <w14:solidFill>
              <w14:schemeClr w14:val="tx1"/>
            </w14:solidFill>
          </w14:textFill>
        </w:rPr>
        <w:t>公司内审和体系运行过程中发现的问题，</w:t>
      </w:r>
      <w:r>
        <w:rPr>
          <w:rFonts w:hint="eastAsia" w:ascii="宋体" w:hAnsi="宋体"/>
          <w:bCs/>
          <w:color w:val="000000" w:themeColor="text1"/>
          <w:szCs w:val="21"/>
          <w14:textFill>
            <w14:solidFill>
              <w14:schemeClr w14:val="tx1"/>
            </w14:solidFill>
          </w14:textFill>
        </w:rPr>
        <w:t>顾客反馈的信息</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关键过程控制情况、质量目标完成情况、计量监督实施情况</w:t>
      </w:r>
      <w:r>
        <w:rPr>
          <w:rFonts w:hint="eastAsia" w:ascii="宋体" w:hAnsi="宋体"/>
          <w:bCs/>
          <w:color w:val="000000" w:themeColor="text1"/>
          <w:szCs w:val="21"/>
          <w14:textFill>
            <w14:solidFill>
              <w14:schemeClr w14:val="tx1"/>
            </w14:solidFill>
          </w14:textFill>
        </w:rPr>
        <w:t>等</w:t>
      </w:r>
      <w:r>
        <w:rPr>
          <w:rFonts w:hint="eastAsia" w:ascii="宋体" w:hAnsi="宋体"/>
          <w:bCs/>
          <w:color w:val="000000" w:themeColor="text1"/>
          <w:szCs w:val="21"/>
          <w:lang w:val="en-US" w:eastAsia="zh-CN"/>
          <w14:textFill>
            <w14:solidFill>
              <w14:schemeClr w14:val="tx1"/>
            </w14:solidFill>
          </w14:textFill>
        </w:rPr>
        <w:t>6个方面的情况向管理评审会议进行了汇报</w:t>
      </w: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就</w:t>
      </w:r>
      <w:r>
        <w:rPr>
          <w:rFonts w:hint="eastAsia" w:ascii="宋体" w:hAnsi="宋体"/>
          <w:bCs/>
          <w:color w:val="000000" w:themeColor="text1"/>
          <w:szCs w:val="21"/>
          <w14:textFill>
            <w14:solidFill>
              <w14:schemeClr w14:val="tx1"/>
            </w14:solidFill>
          </w14:textFill>
        </w:rPr>
        <w:t>公司测量体系目前存在的</w:t>
      </w:r>
      <w:r>
        <w:rPr>
          <w:rFonts w:hint="eastAsia" w:ascii="仿宋_GB2312"/>
          <w:color w:val="000000" w:themeColor="text1"/>
          <w:highlight w:val="none"/>
          <w14:textFill>
            <w14:solidFill>
              <w14:schemeClr w14:val="tx1"/>
            </w14:solidFill>
          </w14:textFill>
        </w:rPr>
        <w:t>相关文件与公司生</w:t>
      </w:r>
      <w:r>
        <w:rPr>
          <w:rFonts w:hint="eastAsia" w:ascii="仿宋_GB2312"/>
          <w:highlight w:val="none"/>
        </w:rPr>
        <w:t>产/经营过程相结合理解不够</w:t>
      </w:r>
      <w:r>
        <w:rPr>
          <w:rFonts w:hint="eastAsia" w:ascii="仿宋_GB2312"/>
          <w:highlight w:val="none"/>
          <w:lang w:eastAsia="zh-CN"/>
        </w:rPr>
        <w:t>、</w:t>
      </w:r>
      <w:r>
        <w:rPr>
          <w:rFonts w:hint="eastAsia" w:ascii="仿宋_GB2312"/>
          <w:highlight w:val="none"/>
          <w:lang w:val="en-US" w:eastAsia="zh-CN"/>
        </w:rPr>
        <w:t>设备操作人员工作责任意识不强</w:t>
      </w:r>
      <w:r>
        <w:rPr>
          <w:rFonts w:hint="eastAsia" w:ascii="仿宋_GB2312"/>
          <w:highlight w:val="none"/>
        </w:rPr>
        <w:t>。对公司全体员工加强对公司测量管理体系相关文件的培训，提高员工的测量管理意识。计量管理人员深入生产一线较</w:t>
      </w:r>
      <w:r>
        <w:rPr>
          <w:rFonts w:hint="eastAsia" w:ascii="仿宋_GB2312"/>
          <w:color w:val="000000" w:themeColor="text1"/>
          <w:highlight w:val="none"/>
          <w14:textFill>
            <w14:solidFill>
              <w14:schemeClr w14:val="tx1"/>
            </w14:solidFill>
          </w14:textFill>
        </w:rPr>
        <w:t>少</w:t>
      </w:r>
      <w:r>
        <w:rPr>
          <w:rFonts w:hint="eastAsia" w:ascii="宋体" w:hAnsi="宋体"/>
          <w:bCs/>
          <w:color w:val="000000" w:themeColor="text1"/>
          <w:szCs w:val="21"/>
          <w14:textFill>
            <w14:solidFill>
              <w14:schemeClr w14:val="tx1"/>
            </w14:solidFill>
          </w14:textFill>
        </w:rPr>
        <w:t>等</w:t>
      </w:r>
      <w:r>
        <w:rPr>
          <w:rFonts w:hint="eastAsia" w:ascii="宋体" w:hAnsi="宋体"/>
          <w:bCs/>
          <w:color w:val="000000" w:themeColor="text1"/>
          <w:szCs w:val="21"/>
          <w:lang w:val="en-US" w:eastAsia="zh-CN"/>
          <w14:textFill>
            <w14:solidFill>
              <w14:schemeClr w14:val="tx1"/>
            </w14:solidFill>
          </w14:textFill>
        </w:rPr>
        <w:t>3个</w:t>
      </w:r>
      <w:r>
        <w:rPr>
          <w:rFonts w:hint="eastAsia" w:ascii="宋体" w:hAnsi="宋体"/>
          <w:bCs/>
          <w:color w:val="000000" w:themeColor="text1"/>
          <w:szCs w:val="21"/>
          <w14:textFill>
            <w14:solidFill>
              <w14:schemeClr w14:val="tx1"/>
            </w14:solidFill>
          </w14:textFill>
        </w:rPr>
        <w:t>方面的问题</w:t>
      </w:r>
      <w:r>
        <w:rPr>
          <w:rFonts w:hint="eastAsia" w:ascii="宋体" w:hAnsi="宋体" w:cs="宋体"/>
          <w:bCs/>
          <w:color w:val="000000" w:themeColor="text1"/>
          <w:kern w:val="0"/>
          <w:sz w:val="21"/>
          <w:szCs w:val="21"/>
          <w14:textFill>
            <w14:solidFill>
              <w14:schemeClr w14:val="tx1"/>
            </w14:solidFill>
          </w14:textFill>
        </w:rPr>
        <w:t>制定</w:t>
      </w:r>
      <w:r>
        <w:rPr>
          <w:rStyle w:val="9"/>
          <w:rFonts w:hint="eastAsia" w:ascii="宋体" w:eastAsia="宋体" w:cs="黑体"/>
          <w:color w:val="000000" w:themeColor="text1"/>
          <w:sz w:val="21"/>
          <w:szCs w:val="21"/>
          <w14:textFill>
            <w14:solidFill>
              <w14:schemeClr w14:val="tx1"/>
            </w14:solidFill>
          </w14:textFill>
        </w:rPr>
        <w:t>纠正、预防措施</w:t>
      </w:r>
      <w:r>
        <w:rPr>
          <w:rStyle w:val="9"/>
          <w:rFonts w:hint="eastAsia" w:ascii="宋体" w:eastAsia="宋体" w:cs="黑体"/>
          <w:color w:val="000000" w:themeColor="text1"/>
          <w:sz w:val="21"/>
          <w:szCs w:val="21"/>
          <w:lang w:eastAsia="zh-CN"/>
          <w14:textFill>
            <w14:solidFill>
              <w14:schemeClr w14:val="tx1"/>
            </w14:solidFill>
          </w14:textFill>
        </w:rPr>
        <w:t>，</w:t>
      </w:r>
      <w:r>
        <w:rPr>
          <w:rStyle w:val="9"/>
          <w:rFonts w:hint="eastAsia" w:ascii="宋体" w:eastAsia="宋体" w:cs="黑体"/>
          <w:color w:val="000000" w:themeColor="text1"/>
          <w:sz w:val="21"/>
          <w:szCs w:val="21"/>
          <w:lang w:val="en-US" w:eastAsia="zh-CN"/>
          <w14:textFill>
            <w14:solidFill>
              <w14:schemeClr w14:val="tx1"/>
            </w14:solidFill>
          </w14:textFill>
        </w:rPr>
        <w:t>并</w:t>
      </w:r>
      <w:r>
        <w:rPr>
          <w:rStyle w:val="9"/>
          <w:rFonts w:hint="eastAsia" w:ascii="宋体" w:eastAsia="宋体" w:cs="黑体"/>
          <w:color w:val="000000" w:themeColor="text1"/>
          <w:sz w:val="21"/>
          <w:szCs w:val="21"/>
          <w14:textFill>
            <w14:solidFill>
              <w14:schemeClr w14:val="tx1"/>
            </w14:solidFill>
          </w14:textFill>
        </w:rPr>
        <w:t>落实和完成情况，提出</w:t>
      </w:r>
      <w:r>
        <w:rPr>
          <w:rStyle w:val="9"/>
          <w:rFonts w:hint="eastAsia" w:ascii="宋体" w:eastAsia="宋体" w:cs="黑体"/>
          <w:color w:val="000000" w:themeColor="text1"/>
          <w:sz w:val="21"/>
          <w:szCs w:val="21"/>
          <w:lang w:val="en-US" w:eastAsia="zh-CN"/>
          <w14:textFill>
            <w14:solidFill>
              <w14:schemeClr w14:val="tx1"/>
            </w14:solidFill>
          </w14:textFill>
        </w:rPr>
        <w:t>了</w:t>
      </w:r>
      <w:r>
        <w:rPr>
          <w:rFonts w:hint="eastAsia" w:ascii="宋体" w:hAnsi="宋体" w:cs="宋体"/>
          <w:bCs/>
          <w:color w:val="000000" w:themeColor="text1"/>
          <w:kern w:val="0"/>
          <w:sz w:val="21"/>
          <w:szCs w:val="21"/>
          <w14:textFill>
            <w14:solidFill>
              <w14:schemeClr w14:val="tx1"/>
            </w14:solidFill>
          </w14:textFill>
        </w:rPr>
        <w:t>评审报告。</w:t>
      </w:r>
      <w:r>
        <w:rPr>
          <w:rFonts w:hint="eastAsia" w:ascii="宋体" w:hAnsi="宋体"/>
          <w:color w:val="000000" w:themeColor="text1"/>
          <w:sz w:val="21"/>
          <w:szCs w:val="21"/>
          <w14:textFill>
            <w14:solidFill>
              <w14:schemeClr w14:val="tx1"/>
            </w14:solidFill>
          </w14:textFill>
        </w:rPr>
        <w:t>管理评审结论为：</w:t>
      </w:r>
      <w:r>
        <w:rPr>
          <w:rFonts w:hint="eastAsia" w:ascii="宋体" w:hAnsi="宋体" w:cs="宋体"/>
          <w:bCs/>
          <w:color w:val="000000" w:themeColor="text1"/>
          <w:kern w:val="0"/>
          <w:sz w:val="21"/>
          <w:szCs w:val="21"/>
          <w14:textFill>
            <w14:solidFill>
              <w14:schemeClr w14:val="tx1"/>
            </w14:solidFill>
          </w14:textFill>
        </w:rPr>
        <w:t>公司</w:t>
      </w:r>
      <w:r>
        <w:rPr>
          <w:rFonts w:hint="eastAsia" w:ascii="宋体" w:hAnsi="宋体"/>
          <w:color w:val="000000" w:themeColor="text1"/>
          <w:sz w:val="21"/>
          <w:szCs w:val="21"/>
          <w14:textFill>
            <w14:solidFill>
              <w14:schemeClr w14:val="tx1"/>
            </w14:solidFill>
          </w14:textFill>
        </w:rPr>
        <w:t>测量管理体系有效运行，符合</w:t>
      </w:r>
      <w:r>
        <w:rPr>
          <w:rFonts w:ascii="宋体" w:hAnsi="宋体"/>
          <w:color w:val="000000" w:themeColor="text1"/>
          <w:sz w:val="21"/>
          <w:szCs w:val="21"/>
          <w14:textFill>
            <w14:solidFill>
              <w14:schemeClr w14:val="tx1"/>
            </w14:solidFill>
          </w14:textFill>
        </w:rPr>
        <w:t>GB/T 19022-2003</w:t>
      </w:r>
      <w:r>
        <w:rPr>
          <w:rFonts w:hint="eastAsia" w:ascii="宋体" w:hAnsi="宋体"/>
          <w:color w:val="000000" w:themeColor="text1"/>
          <w:sz w:val="21"/>
          <w:szCs w:val="21"/>
          <w14:textFill>
            <w14:solidFill>
              <w14:schemeClr w14:val="tx1"/>
            </w14:solidFill>
          </w14:textFill>
        </w:rPr>
        <w:t>标准要求。</w:t>
      </w:r>
      <w:r>
        <w:rPr>
          <w:rFonts w:ascii="宋体" w:hAnsi="宋体"/>
          <w:color w:val="000000" w:themeColor="text1"/>
          <w:sz w:val="24"/>
          <w:szCs w:val="24"/>
          <w14:textFill>
            <w14:solidFill>
              <w14:schemeClr w14:val="tx1"/>
            </w14:solidFill>
          </w14:textFill>
        </w:rPr>
        <w:t xml:space="preserve"> </w:t>
      </w:r>
    </w:p>
    <w:p>
      <w:pPr>
        <w:widowControl/>
        <w:numPr>
          <w:ilvl w:val="0"/>
          <w:numId w:val="1"/>
        </w:numPr>
        <w:spacing w:line="360" w:lineRule="auto"/>
        <w:rPr>
          <w:rFonts w:cs="宋体" w:asciiTheme="minorEastAsia" w:hAnsiTheme="minorEastAsia"/>
          <w:bCs/>
          <w:kern w:val="0"/>
          <w:szCs w:val="21"/>
        </w:rPr>
      </w:pPr>
      <w:r>
        <w:rPr>
          <w:rFonts w:hint="eastAsia" w:asciiTheme="minorEastAsia" w:hAnsiTheme="minorEastAsia"/>
          <w:bCs/>
          <w:szCs w:val="21"/>
        </w:rPr>
        <w:t>为持续改进而策划的活动的进展</w:t>
      </w:r>
      <w:r>
        <w:rPr>
          <w:rFonts w:hint="eastAsia" w:cs="宋体" w:asciiTheme="minorEastAsia" w:hAnsiTheme="minorEastAsia"/>
          <w:bCs/>
          <w:kern w:val="0"/>
          <w:szCs w:val="21"/>
        </w:rPr>
        <w:t xml:space="preserve"> </w:t>
      </w:r>
      <w:r>
        <w:rPr>
          <w:rFonts w:cs="宋体" w:asciiTheme="minorEastAsia" w:hAnsiTheme="minorEastAsia"/>
          <w:bCs/>
          <w:kern w:val="0"/>
          <w:szCs w:val="21"/>
        </w:rPr>
        <w:t>，包括：</w:t>
      </w:r>
    </w:p>
    <w:p>
      <w:pPr>
        <w:snapToGrid w:val="0"/>
        <w:spacing w:line="360" w:lineRule="auto"/>
        <w:ind w:right="-512" w:rightChars="-244"/>
        <w:rPr>
          <w:rFonts w:hint="eastAsia" w:ascii="宋体" w:hAnsi="宋体" w:cs="宋体"/>
          <w:bCs/>
          <w:color w:val="000000" w:themeColor="text1"/>
          <w:kern w:val="0"/>
          <w:sz w:val="21"/>
          <w:szCs w:val="21"/>
          <w:lang w:val="en-US" w:eastAsia="zh-CN"/>
          <w14:textFill>
            <w14:solidFill>
              <w14:schemeClr w14:val="tx1"/>
            </w14:solidFill>
          </w14:textFill>
        </w:rPr>
      </w:pPr>
      <w:r>
        <w:rPr>
          <w:rFonts w:hint="eastAsia"/>
          <w:sz w:val="24"/>
          <w:szCs w:val="24"/>
          <w:lang w:val="en-US" w:eastAsia="zh-CN"/>
        </w:rPr>
        <w:t xml:space="preserve">    </w:t>
      </w:r>
      <w:r>
        <w:rPr>
          <w:rFonts w:hint="eastAsia" w:ascii="宋体" w:hAnsi="宋体" w:cs="宋体"/>
          <w:bCs/>
          <w:color w:val="000000" w:themeColor="text1"/>
          <w:kern w:val="0"/>
          <w:sz w:val="21"/>
          <w:szCs w:val="21"/>
          <w:lang w:val="en-US" w:eastAsia="zh-CN"/>
          <w14:textFill>
            <w14:solidFill>
              <w14:schemeClr w14:val="tx1"/>
            </w14:solidFill>
          </w14:textFill>
        </w:rPr>
        <w:t>企业对新增加识别的1个关键测量过程：HB32001缓速器定子硬度测量过程编制了测量</w:t>
      </w:r>
      <w:r>
        <w:rPr>
          <w:rFonts w:hint="eastAsia" w:ascii="宋体" w:hAnsi="宋体" w:cs="宋体"/>
          <w:bCs/>
          <w:color w:val="000000" w:themeColor="text1"/>
          <w:kern w:val="0"/>
          <w:sz w:val="21"/>
          <w:szCs w:val="21"/>
          <w:lang w:val="en-US" w:eastAsia="zh-CN"/>
          <w14:textFill>
            <w14:solidFill>
              <w14:schemeClr w14:val="tx1"/>
            </w14:solidFill>
          </w14:textFill>
        </w:rPr>
        <w:t>过程控制规范，进行了有效性监视。测量要求的识别、计量要求的导出、验证及不确定度评定方法正确。记录、监视控制图齐全，完整。</w:t>
      </w:r>
    </w:p>
    <w:p>
      <w:pPr>
        <w:widowControl/>
        <w:numPr>
          <w:ilvl w:val="0"/>
          <w:numId w:val="1"/>
        </w:numPr>
        <w:spacing w:line="360" w:lineRule="auto"/>
        <w:rPr>
          <w:rFonts w:cs="宋体" w:asciiTheme="minorEastAsia" w:hAnsiTheme="minorEastAsia"/>
          <w:kern w:val="0"/>
          <w:szCs w:val="21"/>
        </w:rPr>
      </w:pPr>
      <w:r>
        <w:rPr>
          <w:rFonts w:hint="eastAsia" w:asciiTheme="minorEastAsia" w:hAnsiTheme="minorEastAsia"/>
          <w:bCs/>
          <w:szCs w:val="21"/>
        </w:rPr>
        <w:t>对</w:t>
      </w:r>
      <w:r>
        <w:rPr>
          <w:rFonts w:hint="eastAsia" w:asciiTheme="minorEastAsia" w:hAnsiTheme="minorEastAsia"/>
          <w:bCs/>
          <w:szCs w:val="21"/>
          <w:lang w:eastAsia="zh-CN"/>
        </w:rPr>
        <w:t>认证</w:t>
      </w:r>
      <w:r>
        <w:rPr>
          <w:rFonts w:hint="eastAsia" w:asciiTheme="minorEastAsia" w:hAnsiTheme="minorEastAsia"/>
          <w:bCs/>
          <w:szCs w:val="21"/>
        </w:rPr>
        <w:t>审核</w:t>
      </w:r>
      <w:r>
        <w:rPr>
          <w:rFonts w:hint="eastAsia" w:asciiTheme="minorEastAsia" w:hAnsiTheme="minorEastAsia"/>
          <w:bCs/>
          <w:szCs w:val="21"/>
          <w:lang w:eastAsia="zh-CN"/>
        </w:rPr>
        <w:t>时提出的</w:t>
      </w:r>
      <w:r>
        <w:rPr>
          <w:rFonts w:hint="eastAsia" w:asciiTheme="minorEastAsia" w:hAnsiTheme="minorEastAsia"/>
          <w:bCs/>
          <w:szCs w:val="21"/>
        </w:rPr>
        <w:t>的不符合</w:t>
      </w:r>
      <w:r>
        <w:rPr>
          <w:rFonts w:hint="eastAsia" w:asciiTheme="minorEastAsia" w:hAnsiTheme="minorEastAsia"/>
          <w:bCs/>
          <w:szCs w:val="21"/>
          <w:lang w:eastAsia="zh-CN"/>
        </w:rPr>
        <w:t>项的纠正措施情况有表述</w:t>
      </w:r>
      <w:r>
        <w:rPr>
          <w:rFonts w:cs="宋体" w:asciiTheme="minorEastAsia" w:hAnsiTheme="minorEastAsia"/>
          <w:bCs/>
          <w:kern w:val="0"/>
          <w:szCs w:val="21"/>
        </w:rPr>
        <w:t>：</w:t>
      </w:r>
      <w:r>
        <w:rPr>
          <w:rFonts w:cs="宋体" w:asciiTheme="minorEastAsia" w:hAnsiTheme="minorEastAsia"/>
          <w:kern w:val="0"/>
          <w:szCs w:val="21"/>
        </w:rPr>
        <w:t> </w:t>
      </w:r>
    </w:p>
    <w:p>
      <w:pPr>
        <w:widowControl/>
        <w:spacing w:line="360" w:lineRule="auto"/>
        <w:jc w:val="left"/>
        <w:rPr>
          <w:rFonts w:hint="default" w:ascii="宋体" w:hAnsi="宋体" w:cs="宋体"/>
          <w:bCs/>
          <w:color w:val="000000" w:themeColor="text1"/>
          <w:kern w:val="0"/>
          <w:sz w:val="21"/>
          <w:szCs w:val="21"/>
          <w:lang w:val="en-US" w:eastAsia="zh-CN"/>
          <w14:textFill>
            <w14:solidFill>
              <w14:schemeClr w14:val="tx1"/>
            </w14:solidFill>
          </w14:textFill>
        </w:rPr>
      </w:pPr>
      <w:r>
        <w:rPr>
          <w:rFonts w:hint="eastAsia" w:asciiTheme="minorEastAsia" w:hAnsiTheme="minorEastAsia"/>
          <w:bCs/>
          <w:sz w:val="24"/>
          <w:szCs w:val="24"/>
          <w:lang w:val="en-US" w:eastAsia="zh-CN"/>
        </w:rPr>
        <w:t xml:space="preserve">  </w:t>
      </w:r>
      <w:r>
        <w:rPr>
          <w:rFonts w:hint="eastAsia" w:ascii="宋体" w:hAnsi="宋体" w:cs="宋体"/>
          <w:bCs/>
          <w:color w:val="000000" w:themeColor="text1"/>
          <w:kern w:val="0"/>
          <w:sz w:val="21"/>
          <w:szCs w:val="21"/>
          <w:lang w:val="en-US" w:eastAsia="zh-CN"/>
          <w14:textFill>
            <w14:solidFill>
              <w14:schemeClr w14:val="tx1"/>
            </w14:solidFill>
          </w14:textFill>
        </w:rPr>
        <w:t xml:space="preserve">  公司对初次审核中确定的3个不符合项，及时制定整改计划，采取了如下纠正措施，①上次审核开出</w:t>
      </w:r>
      <w:r>
        <w:rPr>
          <w:rFonts w:hint="eastAsia" w:ascii="宋体" w:cs="宋体"/>
          <w:kern w:val="0"/>
          <w:szCs w:val="21"/>
          <w:lang w:val="en-US" w:eastAsia="zh-CN"/>
        </w:rPr>
        <w:t>生产部焊接车间气瓶减压器上的一块压力表（无号）未送检的整改情况：已于将焊接气瓶减压器上的压力表送</w:t>
      </w:r>
      <w:r>
        <w:rPr>
          <w:rFonts w:hint="eastAsia" w:ascii="宋体" w:hAnsi="宋体" w:eastAsia="宋体" w:cs="宋体"/>
          <w:sz w:val="21"/>
          <w:szCs w:val="21"/>
          <w:lang w:val="en-US" w:eastAsia="zh-CN"/>
        </w:rPr>
        <w:t>岐山县质量技术监督检测检验所</w:t>
      </w:r>
      <w:r>
        <w:rPr>
          <w:rFonts w:hint="eastAsia" w:ascii="宋体" w:cs="宋体"/>
          <w:kern w:val="0"/>
          <w:szCs w:val="21"/>
          <w:lang w:val="en-US" w:eastAsia="zh-CN"/>
        </w:rPr>
        <w:t>进行了检定，</w:t>
      </w:r>
      <w:r>
        <w:rPr>
          <w:rFonts w:hint="eastAsia" w:ascii="宋体" w:hAnsi="宋体"/>
          <w:bCs/>
          <w:color w:val="000000"/>
          <w:szCs w:val="21"/>
          <w:lang w:val="en-US" w:eastAsia="zh-CN"/>
        </w:rPr>
        <w:t>有效期至</w:t>
      </w:r>
      <w:r>
        <w:rPr>
          <w:rFonts w:hint="eastAsia" w:ascii="宋体" w:hAnsi="宋体" w:cs="宋体"/>
          <w:bCs/>
          <w:color w:val="000000" w:themeColor="text1"/>
          <w:kern w:val="0"/>
          <w:sz w:val="21"/>
          <w:szCs w:val="21"/>
          <w:lang w:val="en-US" w:eastAsia="zh-CN"/>
          <w14:textFill>
            <w14:solidFill>
              <w14:schemeClr w14:val="tx1"/>
            </w14:solidFill>
          </w14:textFill>
        </w:rPr>
        <w:t>2020年1月16日，由于焊接机停用该氧气压力表目前已封存。提供了封存单。符合要求。</w:t>
      </w:r>
    </w:p>
    <w:p>
      <w:pPr>
        <w:widowControl/>
        <w:spacing w:line="360" w:lineRule="auto"/>
        <w:jc w:val="left"/>
        <w:rPr>
          <w:rFonts w:hint="eastAsia" w:ascii="宋体" w:hAnsi="宋体" w:cs="宋体"/>
          <w:bCs/>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②公司体系运行较短，内审的人员没有测量管理体系内审员证书的整改：因受今年新冠肺炎影响，尚未完成内审员培训，经与北京国标联合认证公司联系定于2020年10月参加内审员培训。已办理相关报名手续。附该公司情况说明。</w:t>
      </w:r>
    </w:p>
    <w:p>
      <w:pPr>
        <w:widowControl/>
        <w:numPr>
          <w:ilvl w:val="0"/>
          <w:numId w:val="0"/>
        </w:numPr>
        <w:spacing w:line="360" w:lineRule="auto"/>
        <w:rPr>
          <w:rFonts w:hint="default"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③</w:t>
      </w:r>
      <w:r>
        <w:rPr>
          <w:rFonts w:hint="eastAsia" w:ascii="宋体" w:hAnsi="宋体" w:eastAsia="宋体" w:cs="宋体"/>
          <w:sz w:val="21"/>
          <w:szCs w:val="21"/>
          <w:lang w:val="en-US" w:eastAsia="zh-CN"/>
        </w:rPr>
        <w:t>校准服务方岐山县质量技术监督检测检验所，宝鸡市质量技术检验检测中心，未进行识别，评价的整改：已收集岐山县质量技术监督检测检验所（</w:t>
      </w:r>
      <w:r>
        <w:rPr>
          <w:rFonts w:hint="eastAsia"/>
          <w:color w:val="000000"/>
          <w:szCs w:val="21"/>
          <w:lang w:val="en-US" w:eastAsia="zh-CN"/>
        </w:rPr>
        <w:t>陕法计【2015】610120600号）</w:t>
      </w:r>
      <w:r>
        <w:rPr>
          <w:rFonts w:hint="eastAsia" w:ascii="宋体" w:hAnsi="宋体" w:eastAsia="宋体" w:cs="宋体"/>
          <w:sz w:val="21"/>
          <w:szCs w:val="21"/>
          <w:lang w:val="en-US" w:eastAsia="zh-CN"/>
        </w:rPr>
        <w:t>，宝鸡市质量技术检验检测中心（陕</w:t>
      </w:r>
      <w:r>
        <w:rPr>
          <w:rFonts w:hint="eastAsia"/>
          <w:color w:val="000000"/>
          <w:szCs w:val="21"/>
          <w:lang w:val="en-US" w:eastAsia="zh-CN"/>
        </w:rPr>
        <w:t>法计【2018】610120000号）</w:t>
      </w:r>
      <w:r>
        <w:rPr>
          <w:rFonts w:hint="eastAsia" w:ascii="宋体" w:hAnsi="宋体" w:eastAsia="宋体" w:cs="宋体"/>
          <w:sz w:val="21"/>
          <w:szCs w:val="21"/>
          <w:lang w:val="en-US" w:eastAsia="zh-CN"/>
        </w:rPr>
        <w:t>等测量服务供方的资质，并分别</w:t>
      </w:r>
      <w:r>
        <w:rPr>
          <w:rFonts w:hint="eastAsia" w:ascii="宋体" w:hAnsi="宋体"/>
          <w:bCs/>
          <w:color w:val="000000" w:themeColor="text1"/>
          <w:szCs w:val="21"/>
          <w:lang w:val="en-US" w:eastAsia="zh-CN"/>
          <w14:textFill>
            <w14:solidFill>
              <w14:schemeClr w14:val="tx1"/>
            </w14:solidFill>
          </w14:textFill>
        </w:rPr>
        <w:t>从</w:t>
      </w:r>
      <w:r>
        <w:rPr>
          <w:rFonts w:hint="eastAsia" w:ascii="宋体" w:hAnsi="宋体"/>
          <w:bCs/>
          <w:color w:val="000000" w:themeColor="text1"/>
          <w:szCs w:val="21"/>
          <w14:textFill>
            <w14:solidFill>
              <w14:schemeClr w14:val="tx1"/>
            </w14:solidFill>
          </w14:textFill>
        </w:rPr>
        <w:t>供方业绩、供方产品质量、供方服务质量、供方诚信等方面</w:t>
      </w:r>
      <w:r>
        <w:rPr>
          <w:rFonts w:hint="eastAsia" w:ascii="宋体" w:hAnsi="宋体"/>
          <w:bCs/>
          <w:color w:val="000000" w:themeColor="text1"/>
          <w:szCs w:val="21"/>
          <w:lang w:val="en-US" w:eastAsia="zh-CN"/>
          <w14:textFill>
            <w14:solidFill>
              <w14:schemeClr w14:val="tx1"/>
            </w14:solidFill>
          </w14:textFill>
        </w:rPr>
        <w:t>进行评价打分，并颁布了2020年《测量设备供方名录和测量设备服务供方名录》。</w:t>
      </w:r>
    </w:p>
    <w:p>
      <w:pPr>
        <w:widowControl/>
        <w:numPr>
          <w:ilvl w:val="0"/>
          <w:numId w:val="0"/>
        </w:numPr>
        <w:spacing w:line="360" w:lineRule="auto"/>
        <w:ind w:firstLine="420" w:firstLineChars="200"/>
        <w:rPr>
          <w:rFonts w:hint="eastAsia" w:ascii="宋体" w:hAnsi="宋体" w:cs="宋体"/>
          <w:bCs/>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经审核组本次现场审核，通过对纠正措施工作的实施、完成情况跟踪及有效性进行现场查验，确认公司初次审核中确定的3个不符合项，所采取的纠正措施及时、正确，完成情况良好并持续有效。同意关闭3个不符合项。</w:t>
      </w:r>
    </w:p>
    <w:p>
      <w:pPr>
        <w:widowControl/>
        <w:numPr>
          <w:ilvl w:val="0"/>
          <w:numId w:val="1"/>
        </w:numPr>
        <w:spacing w:line="276" w:lineRule="auto"/>
        <w:rPr>
          <w:rFonts w:cs="宋体" w:asciiTheme="minorEastAsia" w:hAnsiTheme="minorEastAsia"/>
          <w:bCs/>
          <w:kern w:val="0"/>
          <w:szCs w:val="21"/>
        </w:rPr>
      </w:pPr>
      <w:r>
        <w:rPr>
          <w:rFonts w:hint="eastAsia" w:cs="宋体" w:asciiTheme="minorEastAsia" w:hAnsiTheme="minorEastAsia"/>
          <w:kern w:val="0"/>
          <w:szCs w:val="21"/>
        </w:rPr>
        <w:t>对</w:t>
      </w:r>
      <w:r>
        <w:rPr>
          <w:rFonts w:hint="eastAsia" w:asciiTheme="minorEastAsia" w:hAnsiTheme="minorEastAsia"/>
          <w:bCs/>
          <w:szCs w:val="21"/>
        </w:rPr>
        <w:t>投诉的处理</w:t>
      </w:r>
      <w:r>
        <w:rPr>
          <w:rFonts w:cs="宋体" w:asciiTheme="minorEastAsia" w:hAnsiTheme="minorEastAsia"/>
          <w:bCs/>
          <w:kern w:val="0"/>
          <w:szCs w:val="21"/>
        </w:rPr>
        <w:t>情况：</w:t>
      </w:r>
    </w:p>
    <w:p>
      <w:pPr>
        <w:widowControl/>
        <w:numPr>
          <w:ilvl w:val="0"/>
          <w:numId w:val="0"/>
        </w:numPr>
        <w:spacing w:line="360" w:lineRule="auto"/>
        <w:ind w:firstLine="420" w:firstLineChars="200"/>
        <w:rPr>
          <w:rFonts w:hint="default" w:ascii="宋体" w:hAnsi="宋体" w:cs="宋体"/>
          <w:bCs/>
          <w:color w:val="FF0000"/>
          <w:kern w:val="0"/>
          <w:sz w:val="21"/>
          <w:szCs w:val="21"/>
          <w:lang w:val="en-US" w:eastAsia="zh-CN"/>
        </w:rPr>
      </w:pPr>
      <w:r>
        <w:rPr>
          <w:rFonts w:hint="eastAsia" w:ascii="宋体" w:hAnsi="宋体" w:cs="宋体"/>
          <w:bCs/>
          <w:color w:val="000000" w:themeColor="text1"/>
          <w:kern w:val="0"/>
          <w:sz w:val="21"/>
          <w:szCs w:val="21"/>
          <w:lang w:val="en-US" w:eastAsia="zh-CN"/>
          <w14:textFill>
            <w14:solidFill>
              <w14:schemeClr w14:val="tx1"/>
            </w14:solidFill>
          </w14:textFill>
        </w:rPr>
        <w:t>公司目前尚未接到客户在产品质量、物料交接、能源、安全、现场管理等方面的投诉和纠纷。无产品质量缺陷的退货。针对生产过程中产品不合格，公司质量管理部门建立了《不合格品评审处置》及《预防（纠正）措施》等制度</w:t>
      </w:r>
      <w:r>
        <w:rPr>
          <w:rFonts w:hint="eastAsia" w:ascii="宋体" w:hAnsi="宋体" w:cs="宋体"/>
          <w:bCs/>
          <w:color w:val="000000" w:themeColor="text1"/>
          <w:kern w:val="0"/>
          <w:sz w:val="21"/>
          <w:szCs w:val="21"/>
          <w:lang w:val="en-US" w:eastAsia="zh-CN"/>
          <w14:textFill>
            <w14:solidFill>
              <w14:schemeClr w14:val="tx1"/>
            </w14:solidFill>
          </w14:textFill>
        </w:rPr>
        <w:t>，查H QJZ/JL-P-04《纠正（预防）措施表》，有信息来源、不合格特性描述，有原因分析，处置方案，不合格品处置结果，预防（纠正）措施，实施情况，效果验证，分析人员等内容。对不合格产品的不合格原因制定了原因分析报告，进行了纠正和改进。</w:t>
      </w:r>
    </w:p>
    <w:p>
      <w:pPr>
        <w:widowControl/>
        <w:numPr>
          <w:ilvl w:val="0"/>
          <w:numId w:val="1"/>
        </w:numPr>
        <w:spacing w:line="360" w:lineRule="auto"/>
        <w:ind w:left="0" w:leftChars="0" w:firstLine="0" w:firstLineChars="0"/>
        <w:rPr>
          <w:rFonts w:hint="eastAsia" w:ascii="宋体" w:hAnsi="宋体" w:cs="宋体"/>
          <w:bCs/>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测量管理体系在实现获证客户目标方面的有效性及持续的运作控制情况：</w:t>
      </w:r>
    </w:p>
    <w:p>
      <w:pPr>
        <w:widowControl/>
        <w:spacing w:line="360" w:lineRule="auto"/>
        <w:ind w:firstLine="420"/>
        <w:rPr>
          <w:rFonts w:hint="eastAsia" w:asciiTheme="minorEastAsia" w:hAnsiTheme="minorEastAsia"/>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公司《计量工作质量目标管理程序》，规定了公司的计量方针及</w:t>
      </w:r>
      <w:r>
        <w:rPr>
          <w:rFonts w:hint="eastAsia" w:ascii="宋体" w:hAnsi="宋体"/>
          <w:bCs/>
          <w:color w:val="000000" w:themeColor="text1"/>
          <w:sz w:val="21"/>
          <w:szCs w:val="21"/>
          <w:lang w:val="en-US" w:eastAsia="zh-CN"/>
          <w14:textFill>
            <w14:solidFill>
              <w14:schemeClr w14:val="tx1"/>
            </w14:solidFill>
          </w14:textFill>
        </w:rPr>
        <w:t>6</w:t>
      </w:r>
      <w:r>
        <w:rPr>
          <w:rFonts w:hint="eastAsia" w:ascii="宋体" w:hAnsi="宋体"/>
          <w:bCs/>
          <w:color w:val="000000" w:themeColor="text1"/>
          <w:sz w:val="21"/>
          <w:szCs w:val="21"/>
          <w14:textFill>
            <w14:solidFill>
              <w14:schemeClr w14:val="tx1"/>
            </w14:solidFill>
          </w14:textFill>
        </w:rPr>
        <w:t>项质量目标 ，是</w:t>
      </w:r>
      <w:r>
        <w:rPr>
          <w:rFonts w:hint="eastAsia" w:asciiTheme="minorEastAsia" w:hAnsiTheme="minorEastAsia"/>
          <w:bCs/>
          <w:color w:val="000000" w:themeColor="text1"/>
          <w:sz w:val="21"/>
          <w:szCs w:val="21"/>
          <w14:textFill>
            <w14:solidFill>
              <w14:schemeClr w14:val="tx1"/>
            </w14:solidFill>
          </w14:textFill>
        </w:rPr>
        <w:t>管理体系追求的承诺和准则，内容</w:t>
      </w:r>
      <w:r>
        <w:rPr>
          <w:rFonts w:hint="eastAsia" w:ascii="宋体" w:hAnsi="宋体"/>
          <w:bCs/>
          <w:color w:val="000000" w:themeColor="text1"/>
          <w:sz w:val="21"/>
          <w:szCs w:val="21"/>
          <w14:textFill>
            <w14:solidFill>
              <w14:schemeClr w14:val="tx1"/>
            </w14:solidFill>
          </w14:textFill>
        </w:rPr>
        <w:t>基本覆盖标准要素。201</w:t>
      </w:r>
      <w:r>
        <w:rPr>
          <w:rFonts w:hint="eastAsia" w:ascii="宋体" w:hAnsi="宋体"/>
          <w:bCs/>
          <w:color w:val="000000" w:themeColor="text1"/>
          <w:sz w:val="21"/>
          <w:szCs w:val="21"/>
          <w:lang w:val="en-US" w:eastAsia="zh-CN"/>
          <w14:textFill>
            <w14:solidFill>
              <w14:schemeClr w14:val="tx1"/>
            </w14:solidFill>
          </w14:textFill>
        </w:rPr>
        <w:t>9</w:t>
      </w:r>
      <w:r>
        <w:rPr>
          <w:rFonts w:hint="eastAsia" w:ascii="宋体" w:hAnsi="宋体"/>
          <w:bCs/>
          <w:color w:val="000000" w:themeColor="text1"/>
          <w:sz w:val="21"/>
          <w:szCs w:val="21"/>
          <w14:textFill>
            <w14:solidFill>
              <w14:schemeClr w14:val="tx1"/>
            </w14:solidFill>
          </w14:textFill>
        </w:rPr>
        <w:t>年</w:t>
      </w:r>
      <w:r>
        <w:rPr>
          <w:rFonts w:hint="eastAsia" w:ascii="宋体" w:hAnsi="宋体"/>
          <w:bCs/>
          <w:color w:val="000000" w:themeColor="text1"/>
          <w:sz w:val="21"/>
          <w:szCs w:val="21"/>
          <w:lang w:val="en-US" w:eastAsia="zh-CN"/>
          <w14:textFill>
            <w14:solidFill>
              <w14:schemeClr w14:val="tx1"/>
            </w14:solidFill>
          </w14:textFill>
        </w:rPr>
        <w:t>8月-2020年8月</w:t>
      </w:r>
      <w:r>
        <w:rPr>
          <w:rFonts w:hint="eastAsia" w:ascii="宋体" w:hAnsi="宋体"/>
          <w:bCs/>
          <w:color w:val="000000" w:themeColor="text1"/>
          <w:sz w:val="21"/>
          <w:szCs w:val="21"/>
          <w14:textFill>
            <w14:solidFill>
              <w14:schemeClr w14:val="tx1"/>
            </w14:solidFill>
          </w14:textFill>
        </w:rPr>
        <w:t>，公司</w:t>
      </w:r>
      <w:r>
        <w:rPr>
          <w:rFonts w:hint="eastAsia" w:ascii="宋体" w:hAnsi="宋体"/>
          <w:bCs/>
          <w:color w:val="000000" w:themeColor="text1"/>
          <w:sz w:val="21"/>
          <w:szCs w:val="21"/>
          <w:lang w:val="en-US" w:eastAsia="zh-CN"/>
          <w14:textFill>
            <w14:solidFill>
              <w14:schemeClr w14:val="tx1"/>
            </w14:solidFill>
          </w14:textFill>
        </w:rPr>
        <w:t>根据体系运行情况</w:t>
      </w:r>
      <w:r>
        <w:rPr>
          <w:rFonts w:hint="eastAsia" w:ascii="宋体" w:hAnsi="宋体"/>
          <w:bCs/>
          <w:color w:val="000000" w:themeColor="text1"/>
          <w:sz w:val="21"/>
          <w:szCs w:val="21"/>
          <w14:textFill>
            <w14:solidFill>
              <w14:schemeClr w14:val="tx1"/>
            </w14:solidFill>
          </w14:textFill>
        </w:rPr>
        <w:t>对质量目标进行</w:t>
      </w:r>
      <w:r>
        <w:rPr>
          <w:rFonts w:hint="eastAsia" w:ascii="宋体" w:hAnsi="宋体"/>
          <w:bCs/>
          <w:color w:val="000000" w:themeColor="text1"/>
          <w:sz w:val="21"/>
          <w:szCs w:val="21"/>
          <w:lang w:val="en-US" w:eastAsia="zh-CN"/>
          <w14:textFill>
            <w14:solidFill>
              <w14:schemeClr w14:val="tx1"/>
            </w14:solidFill>
          </w14:textFill>
        </w:rPr>
        <w:t>分析改进</w:t>
      </w:r>
      <w:r>
        <w:rPr>
          <w:rFonts w:hint="eastAsia" w:ascii="宋体" w:hAnsi="宋体"/>
          <w:bCs/>
          <w:color w:val="000000" w:themeColor="text1"/>
          <w:sz w:val="21"/>
          <w:szCs w:val="21"/>
          <w14:textFill>
            <w14:solidFill>
              <w14:schemeClr w14:val="tx1"/>
            </w14:solidFill>
          </w14:textFill>
        </w:rPr>
        <w:t>，进一步</w:t>
      </w:r>
      <w:r>
        <w:rPr>
          <w:rFonts w:hint="eastAsia" w:ascii="宋体" w:hAnsi="宋体"/>
          <w:bCs/>
          <w:color w:val="000000" w:themeColor="text1"/>
          <w:sz w:val="21"/>
          <w:szCs w:val="21"/>
          <w:lang w:val="en-US" w:eastAsia="zh-CN"/>
          <w14:textFill>
            <w14:solidFill>
              <w14:schemeClr w14:val="tx1"/>
            </w14:solidFill>
          </w14:textFill>
        </w:rPr>
        <w:t>满足</w:t>
      </w:r>
      <w:r>
        <w:rPr>
          <w:rFonts w:hint="eastAsia" w:ascii="宋体" w:hAnsi="宋体"/>
          <w:bCs/>
          <w:color w:val="000000" w:themeColor="text1"/>
          <w:sz w:val="21"/>
          <w:szCs w:val="21"/>
          <w14:textFill>
            <w14:solidFill>
              <w14:schemeClr w14:val="tx1"/>
            </w14:solidFill>
          </w14:textFill>
        </w:rPr>
        <w:t>顾客、质量、服务等方面的要求，</w:t>
      </w:r>
      <w:r>
        <w:rPr>
          <w:rFonts w:hint="eastAsia" w:ascii="宋体" w:hAnsi="宋体"/>
          <w:color w:val="000000" w:themeColor="text1"/>
          <w:sz w:val="21"/>
          <w:szCs w:val="21"/>
          <w14:textFill>
            <w14:solidFill>
              <w14:schemeClr w14:val="tx1"/>
            </w14:solidFill>
          </w14:textFill>
        </w:rPr>
        <w:t>符合GB/T 19022-2003标准要求，</w:t>
      </w:r>
      <w:r>
        <w:rPr>
          <w:rFonts w:hint="eastAsia" w:ascii="宋体" w:hAnsi="宋体"/>
          <w:bCs/>
          <w:color w:val="000000" w:themeColor="text1"/>
          <w:sz w:val="21"/>
          <w:szCs w:val="21"/>
          <w14:textFill>
            <w14:solidFill>
              <w14:schemeClr w14:val="tx1"/>
            </w14:solidFill>
          </w14:textFill>
        </w:rPr>
        <w:t>使其更具有动态性和适应性、</w:t>
      </w:r>
      <w:r>
        <w:rPr>
          <w:rFonts w:hint="eastAsia" w:asciiTheme="minorEastAsia" w:hAnsiTheme="minorEastAsia"/>
          <w:bCs/>
          <w:color w:val="000000" w:themeColor="text1"/>
          <w:sz w:val="21"/>
          <w:szCs w:val="21"/>
          <w14:textFill>
            <w14:solidFill>
              <w14:schemeClr w14:val="tx1"/>
            </w14:solidFill>
          </w14:textFill>
        </w:rPr>
        <w:t>有效性及对持续运作的控制。</w:t>
      </w:r>
    </w:p>
    <w:p>
      <w:pPr>
        <w:widowControl/>
        <w:numPr>
          <w:ilvl w:val="0"/>
          <w:numId w:val="1"/>
        </w:numPr>
        <w:spacing w:line="360" w:lineRule="auto"/>
        <w:ind w:left="0" w:leftChars="0" w:firstLine="0" w:firstLineChars="0"/>
        <w:rPr>
          <w:rFonts w:hint="eastAsia" w:ascii="宋体" w:hAnsi="宋体" w:cs="宋体"/>
          <w:bCs/>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对企业组织任何变更的审核</w:t>
      </w:r>
    </w:p>
    <w:p>
      <w:pPr>
        <w:widowControl/>
        <w:numPr>
          <w:ilvl w:val="0"/>
          <w:numId w:val="0"/>
        </w:numPr>
        <w:spacing w:line="360" w:lineRule="auto"/>
        <w:ind w:leftChars="0" w:firstLine="420" w:firstLineChars="200"/>
        <w:rPr>
          <w:rFonts w:hint="default" w:ascii="宋体" w:hAnsi="宋体" w:cs="宋体"/>
          <w:bCs/>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无。</w:t>
      </w:r>
    </w:p>
    <w:p>
      <w:pPr>
        <w:widowControl/>
        <w:numPr>
          <w:ilvl w:val="0"/>
          <w:numId w:val="1"/>
        </w:numPr>
        <w:spacing w:line="360" w:lineRule="auto"/>
        <w:ind w:left="0" w:leftChars="0" w:firstLine="0" w:firstLineChars="0"/>
        <w:rPr>
          <w:rFonts w:hint="eastAsia" w:ascii="宋体" w:hAnsi="宋体" w:cs="宋体"/>
          <w:bCs/>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 xml:space="preserve"> 标志的使用和（或）任何其他对认证资格引用的情况：</w:t>
      </w:r>
    </w:p>
    <w:p>
      <w:pPr>
        <w:widowControl/>
        <w:numPr>
          <w:ilvl w:val="0"/>
          <w:numId w:val="0"/>
        </w:numPr>
        <w:spacing w:line="360" w:lineRule="auto"/>
        <w:ind w:leftChars="0" w:firstLine="420" w:firstLineChars="200"/>
        <w:rPr>
          <w:rFonts w:asciiTheme="minorEastAsia" w:hAnsiTheme="minorEastAsia"/>
          <w:bCs/>
          <w:sz w:val="21"/>
          <w:szCs w:val="21"/>
        </w:rPr>
      </w:pPr>
      <w:r>
        <w:rPr>
          <w:rFonts w:hint="eastAsia" w:ascii="宋体" w:hAnsi="宋体" w:cs="宋体"/>
          <w:bCs/>
          <w:color w:val="000000" w:themeColor="text1"/>
          <w:kern w:val="0"/>
          <w:sz w:val="21"/>
          <w:szCs w:val="21"/>
          <w:lang w:val="en-US" w:eastAsia="zh-CN"/>
          <w14:textFill>
            <w14:solidFill>
              <w14:schemeClr w14:val="tx1"/>
            </w14:solidFill>
          </w14:textFill>
        </w:rPr>
        <w:t>公司对标志的使用，符合相关标准和规定。公司测量管理体系在认证证书用于：</w:t>
      </w:r>
    </w:p>
    <w:p>
      <w:pPr>
        <w:widowControl/>
        <w:spacing w:line="360" w:lineRule="auto"/>
        <w:rPr>
          <w:rFonts w:asciiTheme="minorEastAsia" w:hAnsiTheme="minorEastAsia"/>
          <w:bCs/>
          <w:color w:val="000000" w:themeColor="text1"/>
          <w:sz w:val="21"/>
          <w:szCs w:val="21"/>
          <w14:textFill>
            <w14:solidFill>
              <w14:schemeClr w14:val="tx1"/>
            </w14:solidFill>
          </w14:textFill>
        </w:rPr>
      </w:pPr>
      <w:r>
        <w:rPr>
          <w:rFonts w:hint="eastAsia" w:asciiTheme="minorEastAsia" w:hAnsiTheme="minorEastAsia"/>
          <w:bCs/>
          <w:color w:val="000000" w:themeColor="text1"/>
          <w:sz w:val="21"/>
          <w:szCs w:val="21"/>
          <w14:textFill>
            <w14:solidFill>
              <w14:schemeClr w14:val="tx1"/>
            </w14:solidFill>
          </w14:textFill>
        </w:rPr>
        <w:t>（1）</w:t>
      </w:r>
      <w:r>
        <w:rPr>
          <w:rFonts w:hint="eastAsia" w:asciiTheme="minorEastAsia" w:hAnsiTheme="minorEastAsia"/>
          <w:bCs/>
          <w:color w:val="000000" w:themeColor="text1"/>
          <w:sz w:val="21"/>
          <w:szCs w:val="21"/>
          <w:lang w:val="en-US" w:eastAsia="zh-CN"/>
          <w14:textFill>
            <w14:solidFill>
              <w14:schemeClr w14:val="tx1"/>
            </w14:solidFill>
          </w14:textFill>
        </w:rPr>
        <w:t>用于供应商审核</w:t>
      </w:r>
      <w:r>
        <w:rPr>
          <w:rFonts w:hint="eastAsia" w:asciiTheme="minorEastAsia" w:hAnsiTheme="minorEastAsia"/>
          <w:bCs/>
          <w:color w:val="000000" w:themeColor="text1"/>
          <w:sz w:val="21"/>
          <w:szCs w:val="21"/>
          <w14:textFill>
            <w14:solidFill>
              <w14:schemeClr w14:val="tx1"/>
            </w14:solidFill>
          </w14:textFill>
        </w:rPr>
        <w:t>加分</w:t>
      </w:r>
      <w:r>
        <w:rPr>
          <w:rFonts w:hint="eastAsia" w:asciiTheme="minorEastAsia" w:hAnsiTheme="minorEastAsia"/>
          <w:bCs/>
          <w:color w:val="000000" w:themeColor="text1"/>
          <w:sz w:val="21"/>
          <w:szCs w:val="21"/>
          <w:lang w:val="en-US" w:eastAsia="zh-CN"/>
          <w14:textFill>
            <w14:solidFill>
              <w14:schemeClr w14:val="tx1"/>
            </w14:solidFill>
          </w14:textFill>
        </w:rPr>
        <w:t>1次</w:t>
      </w:r>
      <w:r>
        <w:rPr>
          <w:rFonts w:hint="eastAsia" w:asciiTheme="minorEastAsia" w:hAnsiTheme="minorEastAsia"/>
          <w:bCs/>
          <w:color w:val="000000" w:themeColor="text1"/>
          <w:sz w:val="21"/>
          <w:szCs w:val="21"/>
          <w14:textFill>
            <w14:solidFill>
              <w14:schemeClr w14:val="tx1"/>
            </w14:solidFill>
          </w14:textFill>
        </w:rPr>
        <w:t>；</w:t>
      </w:r>
    </w:p>
    <w:p>
      <w:pPr>
        <w:widowControl/>
        <w:numPr>
          <w:ilvl w:val="0"/>
          <w:numId w:val="0"/>
        </w:numPr>
        <w:spacing w:line="360" w:lineRule="auto"/>
        <w:rPr>
          <w:rFonts w:hint="eastAsia" w:ascii="宋体" w:hAnsi="宋体" w:cs="宋体"/>
          <w:bCs/>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（2）用于企业形象广告宣传：</w:t>
      </w:r>
    </w:p>
    <w:p>
      <w:pPr>
        <w:widowControl/>
        <w:numPr>
          <w:ilvl w:val="0"/>
          <w:numId w:val="0"/>
        </w:numPr>
        <w:spacing w:line="360" w:lineRule="auto"/>
        <w:rPr>
          <w:rFonts w:hint="eastAsia" w:ascii="宋体" w:hAnsi="宋体" w:cs="宋体"/>
          <w:bCs/>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10.本次审核共出具一般不符合项一项，未发现严重或系统性的不符合情况。</w:t>
      </w:r>
    </w:p>
    <w:p>
      <w:pPr>
        <w:widowControl/>
        <w:spacing w:line="360" w:lineRule="auto"/>
        <w:rPr>
          <w:rFonts w:cs="宋体" w:asciiTheme="minorEastAsia" w:hAnsiTheme="minorEastAsia"/>
          <w:color w:val="000000" w:themeColor="text1"/>
          <w:kern w:val="0"/>
          <w:sz w:val="21"/>
          <w:szCs w:val="21"/>
          <w:highlight w:val="none"/>
          <w14:textFill>
            <w14:solidFill>
              <w14:schemeClr w14:val="tx1"/>
            </w14:solidFill>
          </w14:textFill>
        </w:rPr>
      </w:pPr>
      <w:r>
        <w:rPr>
          <w:rFonts w:hint="eastAsia" w:cs="宋体" w:asciiTheme="minorEastAsia" w:hAnsiTheme="minorEastAsia"/>
          <w:color w:val="000000" w:themeColor="text1"/>
          <w:kern w:val="0"/>
          <w:sz w:val="21"/>
          <w:szCs w:val="21"/>
          <w:highlight w:val="none"/>
          <w14:textFill>
            <w14:solidFill>
              <w14:schemeClr w14:val="tx1"/>
            </w14:solidFill>
          </w14:textFill>
        </w:rPr>
        <w:t>不符合项：</w:t>
      </w:r>
    </w:p>
    <w:p>
      <w:pPr>
        <w:widowControl/>
        <w:spacing w:line="360" w:lineRule="auto"/>
        <w:jc w:val="left"/>
        <w:rPr>
          <w:rFonts w:hint="eastAsia" w:ascii="宋体" w:hAnsi="宋体" w:cs="宋体"/>
          <w:bCs/>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10.1</w:t>
      </w:r>
      <w:r>
        <w:rPr>
          <w:rFonts w:hint="eastAsia" w:ascii="宋体" w:cs="宋体"/>
          <w:color w:val="000000" w:themeColor="text1"/>
          <w:kern w:val="0"/>
          <w:szCs w:val="21"/>
          <w:lang w:eastAsia="zh-CN"/>
          <w14:textFill>
            <w14:solidFill>
              <w14:schemeClr w14:val="tx1"/>
            </w14:solidFill>
          </w14:textFill>
        </w:rPr>
        <w:t>查</w:t>
      </w:r>
      <w:r>
        <w:rPr>
          <w:rFonts w:hint="eastAsia" w:ascii="宋体" w:hAnsi="宋体" w:eastAsia="宋体" w:cs="宋体"/>
          <w:color w:val="000000" w:themeColor="text1"/>
          <w:szCs w:val="21"/>
          <w:highlight w:val="none"/>
          <w:lang w:val="en-US" w:eastAsia="zh-CN"/>
          <w14:textFill>
            <w14:solidFill>
              <w14:schemeClr w14:val="tx1"/>
            </w14:solidFill>
          </w14:textFill>
        </w:rPr>
        <w:t>硬度和光谱仪检验室的温湿度记录，发现配备的温湿度表未送检。</w:t>
      </w:r>
      <w:r>
        <w:rPr>
          <w:rFonts w:hint="eastAsia" w:ascii="宋体" w:hAnsi="宋体" w:cs="宋体"/>
          <w:bCs/>
          <w:color w:val="000000" w:themeColor="text1"/>
          <w:kern w:val="0"/>
          <w:sz w:val="21"/>
          <w:szCs w:val="21"/>
          <w:lang w:val="en-US" w:eastAsia="zh-CN"/>
          <w14:textFill>
            <w14:solidFill>
              <w14:schemeClr w14:val="tx1"/>
            </w14:solidFill>
          </w14:textFill>
        </w:rPr>
        <w:t>不符合7.3.2溯源性的要求</w:t>
      </w:r>
      <w:r>
        <w:rPr>
          <w:rFonts w:hint="eastAsia" w:ascii="宋体" w:hAnsi="宋体" w:cs="宋体"/>
          <w:bCs/>
          <w:color w:val="000000" w:themeColor="text1"/>
          <w:kern w:val="0"/>
          <w:sz w:val="21"/>
          <w:szCs w:val="21"/>
          <w:u w:val="none"/>
          <w:lang w:val="en-US" w:eastAsia="zh-CN"/>
          <w14:textFill>
            <w14:solidFill>
              <w14:schemeClr w14:val="tx1"/>
            </w14:solidFill>
          </w14:textFill>
        </w:rPr>
        <w:t>。</w:t>
      </w:r>
      <w:r>
        <w:rPr>
          <w:rFonts w:hint="eastAsia" w:ascii="宋体" w:hAnsi="宋体" w:cs="宋体"/>
          <w:bCs/>
          <w:color w:val="000000" w:themeColor="text1"/>
          <w:kern w:val="0"/>
          <w:sz w:val="21"/>
          <w:szCs w:val="21"/>
          <w:lang w:val="en-US" w:eastAsia="zh-CN"/>
          <w14:textFill>
            <w14:solidFill>
              <w14:schemeClr w14:val="tx1"/>
            </w14:solidFill>
          </w14:textFill>
        </w:rPr>
        <w:t>属于次要不符</w:t>
      </w:r>
      <w:r>
        <w:rPr>
          <w:rFonts w:hint="eastAsia" w:ascii="宋体" w:hAnsi="宋体" w:cs="宋体"/>
          <w:bCs/>
          <w:color w:val="000000" w:themeColor="text1"/>
          <w:kern w:val="0"/>
          <w:sz w:val="21"/>
          <w:szCs w:val="21"/>
          <w:lang w:val="en-US" w:eastAsia="zh-CN"/>
          <w14:textFill>
            <w14:solidFill>
              <w14:schemeClr w14:val="tx1"/>
            </w14:solidFill>
          </w14:textFill>
        </w:rPr>
        <w:t>合。</w:t>
      </w:r>
    </w:p>
    <w:p>
      <w:pPr>
        <w:widowControl/>
        <w:numPr>
          <w:ilvl w:val="0"/>
          <w:numId w:val="0"/>
        </w:numPr>
        <w:spacing w:line="360" w:lineRule="auto"/>
        <w:rPr>
          <w:rFonts w:ascii="宋体" w:hAnsi="宋体" w:eastAsia="宋体" w:cs="宋体"/>
          <w:kern w:val="0"/>
          <w:szCs w:val="28"/>
        </w:rPr>
      </w:pPr>
      <w:r>
        <w:rPr>
          <w:rFonts w:hint="eastAsia" w:ascii="宋体" w:hAnsi="宋体" w:eastAsia="宋体" w:cs="宋体"/>
          <w:b/>
          <w:bCs/>
          <w:kern w:val="0"/>
          <w:szCs w:val="21"/>
          <w:lang w:val="en-US" w:eastAsia="zh-CN"/>
        </w:rPr>
        <w:t>三、</w:t>
      </w: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widowControl/>
        <w:numPr>
          <w:ilvl w:val="0"/>
          <w:numId w:val="0"/>
        </w:numPr>
        <w:spacing w:line="360" w:lineRule="auto"/>
        <w:ind w:leftChars="0" w:firstLine="420" w:firstLineChars="200"/>
        <w:rPr>
          <w:rFonts w:hint="eastAsia" w:ascii="宋体" w:hAnsi="宋体" w:cs="宋体"/>
          <w:bCs/>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通过2020年9月25日至26日上午，对陕西华强精密铸造有限公司测量管理现场监督审核.验证了贵公司在测量管理体系实现认证后一年内，公司领导重视体系运行和管理，体系文件得到有效实施，关键测量过程受控、监视方法正确有效，重要测量人员能力受控，测量设备、测量环境、测量软件、测量记录管理等各项工作，比上一年度更加完善和规范，使公司测量体系持续满足顾客的测量要求。综上所述，审核组认为陕西华强精密铸造有限公司测量管理体系，符合GB/T 19022-2003标准要求，对体系运行具有持续的有效性、符合性予以肯定。建议报请国标联合认证有限公司批准通过监督审核。</w:t>
      </w:r>
    </w:p>
    <w:p>
      <w:pPr>
        <w:widowControl/>
        <w:numPr>
          <w:ilvl w:val="0"/>
          <w:numId w:val="0"/>
        </w:numPr>
        <w:spacing w:line="360" w:lineRule="auto"/>
        <w:ind w:leftChars="0" w:firstLine="420" w:firstLineChars="200"/>
        <w:rPr>
          <w:rFonts w:hint="eastAsia" w:ascii="宋体" w:hAnsi="宋体" w:cs="宋体"/>
          <w:bCs/>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另为了促进支持企业测量管理体系持续提高，建议企业进一步提高测量不确定度、计量验证等专业技术的熟练掌握程度，完善高度控制测量过程的监视和核查手段，持续加强关键过程的控制。加大测量管理体系专业知识的培训力度，以保证测量管理体系持续有效运行。</w:t>
      </w: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lang w:val="en-US" w:eastAsia="zh-CN"/>
        </w:rPr>
        <w:t xml:space="preserve">   </w:t>
      </w:r>
      <w:r>
        <w:rPr>
          <w:rFonts w:ascii="宋体" w:hAnsi="宋体" w:eastAsia="宋体" w:cs="宋体"/>
          <w:kern w:val="0"/>
          <w:szCs w:val="28"/>
        </w:rPr>
        <w:t>审核员 （签字）：</w:t>
      </w:r>
      <w:r>
        <w:rPr>
          <w:rFonts w:hint="eastAsia" w:ascii="宋体" w:hAnsi="宋体" w:eastAsia="宋体" w:cs="宋体"/>
          <w:kern w:val="0"/>
          <w:szCs w:val="28"/>
          <w:lang w:val="en-US" w:eastAsia="zh-CN"/>
        </w:rPr>
        <w:t xml:space="preserve">           </w:t>
      </w:r>
      <w:r>
        <w:rPr>
          <w:rFonts w:hint="eastAsia" w:ascii="宋体" w:hAnsi="宋体" w:eastAsia="宋体" w:cs="宋体"/>
          <w:kern w:val="0"/>
          <w:szCs w:val="28"/>
        </w:rPr>
        <w:t>日期：</w:t>
      </w:r>
    </w:p>
    <w:p>
      <w:pPr>
        <w:widowControl/>
        <w:spacing w:line="276" w:lineRule="auto"/>
        <w:ind w:right="945"/>
        <w:jc w:val="center"/>
        <w:rPr>
          <w:rFonts w:ascii="宋体" w:hAnsi="宋体" w:eastAsia="宋体" w:cs="宋体"/>
          <w:kern w:val="0"/>
          <w:szCs w:val="28"/>
        </w:rPr>
      </w:pP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hint="eastAsia" w:ascii="宋体" w:hAnsi="宋体" w:eastAsia="宋体" w:cs="宋体"/>
          <w:kern w:val="0"/>
          <w:szCs w:val="28"/>
        </w:rPr>
      </w:pPr>
    </w:p>
    <w:p>
      <w:pPr>
        <w:widowControl/>
        <w:spacing w:line="276" w:lineRule="auto"/>
        <w:ind w:firstLine="3118" w:firstLineChars="1485"/>
        <w:jc w:val="left"/>
        <w:rPr>
          <w:rFonts w:hint="eastAsia" w:ascii="宋体" w:hAnsi="宋体" w:eastAsia="宋体" w:cs="宋体"/>
          <w:kern w:val="0"/>
          <w:szCs w:val="28"/>
        </w:rPr>
      </w:pP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w:t>
      </w:r>
      <w:r>
        <w:rPr>
          <w:rFonts w:hint="eastAsia" w:ascii="宋体" w:hAnsi="宋体" w:eastAsia="宋体" w:cs="宋体"/>
          <w:kern w:val="0"/>
          <w:szCs w:val="28"/>
          <w:lang w:val="en-US" w:eastAsia="zh-CN"/>
        </w:rPr>
        <w:t xml:space="preserve">                                  </w:t>
      </w:r>
      <w:r>
        <w:rPr>
          <w:rFonts w:ascii="宋体" w:hAnsi="宋体" w:eastAsia="宋体" w:cs="宋体"/>
          <w:kern w:val="0"/>
          <w:szCs w:val="28"/>
        </w:rPr>
        <w:t>日期：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4"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mc:AlternateContent>
        <mc:Choice Requires="wps">
          <w:drawing>
            <wp:anchor distT="0" distB="0" distL="114300" distR="114300" simplePos="0" relativeHeight="251658240" behindDoc="0" locked="0" layoutInCell="1" allowOverlap="1">
              <wp:simplePos x="0" y="0"/>
              <wp:positionH relativeFrom="column">
                <wp:posOffset>3669665</wp:posOffset>
              </wp:positionH>
              <wp:positionV relativeFrom="paragraph">
                <wp:posOffset>198120</wp:posOffset>
              </wp:positionV>
              <wp:extent cx="2208530" cy="261620"/>
              <wp:effectExtent l="0" t="0" r="1270" b="5080"/>
              <wp:wrapNone/>
              <wp:docPr id="1" name="文本框 1"/>
              <wp:cNvGraphicFramePr/>
              <a:graphic xmlns:a="http://schemas.openxmlformats.org/drawingml/2006/main">
                <a:graphicData uri="http://schemas.microsoft.com/office/word/2010/wordprocessingShape">
                  <wps:wsp>
                    <wps:cNvSpPr txBox="1"/>
                    <wps:spPr>
                      <a:xfrm>
                        <a:off x="0" y="0"/>
                        <a:ext cx="2208530" cy="261620"/>
                      </a:xfrm>
                      <a:prstGeom prst="rect">
                        <a:avLst/>
                      </a:prstGeom>
                      <a:solidFill>
                        <a:srgbClr val="FFFFFF"/>
                      </a:solidFill>
                      <a:ln>
                        <a:noFill/>
                      </a:ln>
                    </wps:spPr>
                    <wps:txb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wps:txbx>
                    <wps:bodyPr upright="1"/>
                  </wps:wsp>
                </a:graphicData>
              </a:graphic>
            </wp:anchor>
          </w:drawing>
        </mc:Choice>
        <mc:Fallback>
          <w:pict>
            <v:shape id="_x0000_s1026" o:spid="_x0000_s1026" o:spt="202" type="#_x0000_t202" style="position:absolute;left:0pt;margin-left:288.95pt;margin-top:15.6pt;height:20.6pt;width:173.9pt;z-index:251658240;mso-width-relative:page;mso-height-relative:page;" fillcolor="#FFFFFF" filled="t" stroked="f" coordsize="21600,21600" o:gfxdata="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RogH9cAAAAJAQAADwAA&#10;AAAAAAABACAAAAAiAAAAZHJzL2Rvd25yZXYueG1sUEsBAhQAFAAAAAgAh07iQOiPy42lAQAAKQMA&#10;AA4AAAAAAAAAAQAgAAAAJgEAAGRycy9lMm9Eb2MueG1sUEsFBgAAAAAGAAYAWQEAAD0FAAAAAA==&#10;">
              <v:fill on="t" focussize="0,0"/>
              <v:stroke on="f"/>
              <v:imagedata o:title=""/>
              <o:lock v:ext="edit" aspectratio="f"/>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mc:Fallback>
      </mc:AlternateConten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column">
                <wp:posOffset>-300990</wp:posOffset>
              </wp:positionH>
              <wp:positionV relativeFrom="paragraph">
                <wp:posOffset>29845</wp:posOffset>
              </wp:positionV>
              <wp:extent cx="5849620" cy="8890"/>
              <wp:effectExtent l="0" t="4445" r="2540" b="9525"/>
              <wp:wrapNone/>
              <wp:docPr id="4" name="直线 3"/>
              <wp:cNvGraphicFramePr/>
              <a:graphic xmlns:a="http://schemas.openxmlformats.org/drawingml/2006/main">
                <a:graphicData uri="http://schemas.microsoft.com/office/word/2010/wordprocessingShape">
                  <wps:wsp>
                    <wps:cNvCnPr/>
                    <wps:spPr>
                      <a:xfrm>
                        <a:off x="0" y="0"/>
                        <a:ext cx="5849620"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3.7pt;margin-top:2.35pt;height:0.7pt;width:460.6pt;z-index:251659264;mso-width-relative:page;mso-height-relative:page;" filled="f" stroked="t" coordsize="21600,21600" o:gfxdata="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RKAA1gAAAAcBAAAPAAAAAAAAAAEAIAAAACIA&#10;AABkcnMvZG93bnJldi54bWxQSwECFAAUAAAACACHTuJAkJ405tIBAACQAwAADgAAAAAAAAABACAA&#10;AAAlAQAAZHJzL2Uyb0RvYy54bWxQSwUGAAAAAAYABgBZAQAAaQUAAAAA&#10;">
              <v:fill on="f" focussize="0,0"/>
              <v:stroke color="#000000" joinstyle="round"/>
              <v:imagedata o:title=""/>
              <o:lock v:ext="edit" aspectratio="f"/>
            </v:line>
          </w:pict>
        </mc:Fallback>
      </mc:AlternateContent>
    </w:r>
    <w:bookmarkEnd w:id="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BA2F0"/>
    <w:multiLevelType w:val="singleLevel"/>
    <w:tmpl w:val="58EBA2F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E565C"/>
    <w:rsid w:val="0C1908F5"/>
    <w:rsid w:val="0C22013B"/>
    <w:rsid w:val="14B80E0A"/>
    <w:rsid w:val="1B763928"/>
    <w:rsid w:val="26B1197A"/>
    <w:rsid w:val="26F57A79"/>
    <w:rsid w:val="276F1634"/>
    <w:rsid w:val="279650C9"/>
    <w:rsid w:val="2A4C5C75"/>
    <w:rsid w:val="2AF242D7"/>
    <w:rsid w:val="2B3B7C8D"/>
    <w:rsid w:val="2F7A24A5"/>
    <w:rsid w:val="32FB5525"/>
    <w:rsid w:val="359C7800"/>
    <w:rsid w:val="3DBA1B9A"/>
    <w:rsid w:val="41E83B30"/>
    <w:rsid w:val="447D22ED"/>
    <w:rsid w:val="4DE31021"/>
    <w:rsid w:val="52B658C2"/>
    <w:rsid w:val="53BF5CA3"/>
    <w:rsid w:val="62C857E8"/>
    <w:rsid w:val="6B1C66D8"/>
    <w:rsid w:val="756527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99"/>
    <w:rPr>
      <w:rFonts w:ascii="黑体" w:eastAsia="黑体"/>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3</TotalTime>
  <ScaleCrop>false</ScaleCrop>
  <LinksUpToDate>false</LinksUpToDate>
  <CharactersWithSpaces>540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LX</cp:lastModifiedBy>
  <cp:lastPrinted>2017-09-01T06:24:00Z</cp:lastPrinted>
  <dcterms:modified xsi:type="dcterms:W3CDTF">2020-09-26T01:15:25Z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