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0087-2018-QEO-2019</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重庆市农产品集团绿优鲜商贸连锁有限公司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重庆市渝北区农业园区宝环路65号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500012</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重庆市渝北区农业园区宝环路65号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500012</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重庆市渝北区农业园区宝环路65号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500012</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91500112686205720K</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17723056759</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谭文强</w:t>
      </w:r>
      <w:bookmarkEnd w:id="12"/>
      <w:r>
        <w:rPr>
          <w:rFonts w:hint="eastAsia"/>
          <w:b/>
          <w:color w:val="000000" w:themeColor="text1"/>
          <w:sz w:val="22"/>
          <w:szCs w:val="22"/>
        </w:rPr>
        <w:t>组织人数：</w:t>
      </w:r>
      <w:bookmarkStart w:id="13" w:name="体系人数"/>
      <w:r>
        <w:rPr>
          <w:b/>
          <w:color w:val="000000" w:themeColor="text1"/>
          <w:sz w:val="22"/>
          <w:szCs w:val="22"/>
          <w:u w:val="single"/>
        </w:rPr>
        <w:t>O:10,E:10,Q:10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O:监查1,E:监查1,Q:监查1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9" w:name="_GoBack"/>
      <w:bookmarkEnd w:id="19"/>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B43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105</TotalTime>
  <ScaleCrop>false</ScaleCrop>
  <LinksUpToDate>false</LinksUpToDate>
  <CharactersWithSpaces>816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2019-09-19T13:51:07Z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