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0487-2020-Q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汉源县鑫馨商贸有限责任公司</w:t>
      </w:r>
      <w:bookmarkEnd w:id="1"/>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汉源县富林镇江汉大道四段52地块财富商业中心1幢2层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625300</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四川省雅安市汉源县富林镇新县城萝卜岗供销社鑫馨超市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625300</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91511823684178829L</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阮毅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30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初级农产品（果蔬、冷鲜肉类、禽蛋）、预包装食品、散装食品的销售（限许可范围内）</w:t>
      </w:r>
      <w:bookmarkEnd w:id="15"/>
      <w:r>
        <w:rPr>
          <w:rFonts w:hint="eastAsia"/>
          <w:b/>
          <w:color w:val="000000" w:themeColor="text1"/>
          <w:sz w:val="22"/>
          <w:szCs w:val="22"/>
          <w:lang w:eastAsia="zh-CN"/>
        </w:rPr>
        <w:t>（不含超市零售）</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854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2020-09-08T07:15:19Z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