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r>
        <w:t xml:space="preserve">                                                                       </w:t>
      </w: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（GB/T 19022-2003/ISO 10012:2003）</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 xml:space="preserve">： </w:t>
      </w:r>
      <w:r>
        <w:rPr>
          <w:rFonts w:hint="eastAsia" w:ascii="宋体" w:hAnsi="宋体"/>
          <w:sz w:val="32"/>
          <w:u w:val="single"/>
        </w:rPr>
        <w:t xml:space="preserve">     </w:t>
      </w:r>
      <w:r>
        <w:rPr>
          <w:rFonts w:hint="eastAsia" w:ascii="宋体" w:hAnsi="宋体"/>
          <w:sz w:val="32"/>
          <w:u w:val="single"/>
          <w:lang w:eastAsia="zh-CN"/>
        </w:rPr>
        <w:t>成都鑫泽机械</w:t>
      </w:r>
      <w:r>
        <w:rPr>
          <w:rFonts w:hint="eastAsia" w:ascii="宋体" w:hAnsi="宋体"/>
          <w:sz w:val="32"/>
          <w:u w:val="single"/>
        </w:rPr>
        <w:t xml:space="preserve">有限公司                               </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r>
        <w:rPr>
          <w:rFonts w:hint="eastAsia" w:ascii="宋体" w:hAnsi="宋体"/>
          <w:sz w:val="32"/>
          <w:u w:val="single"/>
        </w:rPr>
        <w:t xml:space="preserve">         00</w:t>
      </w:r>
      <w:r>
        <w:rPr>
          <w:rFonts w:hint="eastAsia" w:ascii="宋体" w:hAnsi="宋体"/>
          <w:sz w:val="32"/>
          <w:u w:val="single"/>
          <w:lang w:val="en-US" w:eastAsia="zh-CN"/>
        </w:rPr>
        <w:t>90</w:t>
      </w:r>
      <w:r>
        <w:rPr>
          <w:rFonts w:hint="eastAsia" w:ascii="宋体" w:hAnsi="宋体"/>
          <w:sz w:val="32"/>
          <w:u w:val="single"/>
        </w:rPr>
        <w:t>-201</w:t>
      </w:r>
      <w:r>
        <w:rPr>
          <w:rFonts w:hint="eastAsia" w:ascii="宋体" w:hAnsi="宋体"/>
          <w:sz w:val="32"/>
          <w:u w:val="single"/>
          <w:lang w:val="en-US" w:eastAsia="zh-CN"/>
        </w:rPr>
        <w:t>7</w:t>
      </w:r>
      <w:r>
        <w:rPr>
          <w:rFonts w:hint="eastAsia" w:ascii="宋体" w:hAnsi="宋体"/>
          <w:sz w:val="32"/>
          <w:u w:val="single"/>
        </w:rPr>
        <w:t>-20</w:t>
      </w:r>
      <w:r>
        <w:rPr>
          <w:rFonts w:hint="eastAsia" w:ascii="宋体" w:hAnsi="宋体"/>
          <w:sz w:val="32"/>
          <w:u w:val="single"/>
          <w:lang w:val="en-US" w:eastAsia="zh-CN"/>
        </w:rPr>
        <w:t>20</w:t>
      </w:r>
      <w:r>
        <w:rPr>
          <w:rFonts w:hint="eastAsia" w:ascii="宋体" w:hAnsi="宋体"/>
          <w:sz w:val="32"/>
          <w:u w:val="single"/>
        </w:rPr>
        <w:t xml:space="preserve">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u w:val="single"/>
        </w:rPr>
        <w:t xml:space="preserve">           </w:t>
      </w:r>
      <w:r>
        <w:rPr>
          <w:rFonts w:hint="eastAsia" w:ascii="宋体" w:hAnsi="宋体"/>
          <w:sz w:val="32"/>
          <w:u w:val="single"/>
        </w:rPr>
        <w:t>年度监督审核</w:t>
      </w:r>
      <w:r>
        <w:rPr>
          <w:rFonts w:hint="eastAsia" w:ascii="MS PGothic" w:hAnsi="MS PGothic"/>
          <w:sz w:val="32"/>
          <w:u w:val="single"/>
        </w:rPr>
        <w:t xml:space="preserve">               </w:t>
      </w:r>
    </w:p>
    <w:p>
      <w:pPr>
        <w:widowControl/>
        <w:spacing w:line="360" w:lineRule="auto"/>
        <w:ind w:right="360"/>
        <w:rPr>
          <w:rFonts w:ascii="宋体" w:hAnsi="宋体"/>
          <w:spacing w:val="80"/>
          <w:sz w:val="32"/>
        </w:rPr>
      </w:pPr>
    </w:p>
    <w:p>
      <w:pPr>
        <w:widowControl/>
        <w:jc w:val="lef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br w:type="page"/>
      </w:r>
    </w:p>
    <w:p>
      <w:pPr>
        <w:widowControl/>
        <w:spacing w:line="360" w:lineRule="auto"/>
        <w:jc w:val="right"/>
        <w:rPr>
          <w:rFonts w:hint="eastAsia" w:ascii="Times New Roman" w:hAnsi="Times New Roman" w:cs="Times New Roman" w:eastAsiaTheme="minorEastAsia"/>
          <w:bCs/>
          <w:kern w:val="0"/>
          <w:sz w:val="18"/>
          <w:szCs w:val="18"/>
          <w:lang w:val="en-US" w:eastAsia="zh-CN"/>
        </w:rPr>
      </w:pPr>
      <w:r>
        <w:rPr>
          <w:rFonts w:hint="eastAsia" w:ascii="Times New Roman" w:hAnsi="Times New Roman" w:eastAsia="宋体" w:cs="Times New Roman"/>
          <w:bCs/>
          <w:kern w:val="0"/>
          <w:sz w:val="18"/>
          <w:szCs w:val="18"/>
        </w:rPr>
        <w:t>项目</w:t>
      </w:r>
      <w:r>
        <w:rPr>
          <w:rFonts w:ascii="Times New Roman" w:hAnsi="Times New Roman" w:eastAsia="宋体" w:cs="Times New Roman"/>
          <w:bCs/>
          <w:kern w:val="0"/>
          <w:sz w:val="18"/>
          <w:szCs w:val="18"/>
        </w:rPr>
        <w:t>编号：</w:t>
      </w:r>
      <w:r>
        <w:rPr>
          <w:rFonts w:hint="eastAsia" w:ascii="宋体" w:hAnsi="宋体"/>
          <w:szCs w:val="21"/>
          <w:u w:val="single"/>
        </w:rPr>
        <w:t>00</w:t>
      </w:r>
      <w:r>
        <w:rPr>
          <w:rFonts w:hint="eastAsia" w:ascii="宋体" w:hAnsi="宋体"/>
          <w:szCs w:val="21"/>
          <w:u w:val="single"/>
          <w:lang w:val="en-US" w:eastAsia="zh-CN"/>
        </w:rPr>
        <w:t>90</w:t>
      </w:r>
      <w:r>
        <w:rPr>
          <w:rFonts w:hint="eastAsia" w:ascii="宋体" w:hAnsi="宋体"/>
          <w:szCs w:val="21"/>
          <w:u w:val="single"/>
        </w:rPr>
        <w:t>-201</w:t>
      </w:r>
      <w:r>
        <w:rPr>
          <w:rFonts w:hint="eastAsia" w:ascii="宋体" w:hAnsi="宋体"/>
          <w:szCs w:val="21"/>
          <w:u w:val="single"/>
          <w:lang w:val="en-US" w:eastAsia="zh-CN"/>
        </w:rPr>
        <w:t>7</w:t>
      </w:r>
      <w:r>
        <w:rPr>
          <w:rFonts w:hint="eastAsia" w:ascii="宋体" w:hAnsi="宋体"/>
          <w:szCs w:val="21"/>
          <w:u w:val="single"/>
        </w:rPr>
        <w:t>-</w:t>
      </w:r>
      <w:r>
        <w:rPr>
          <w:rFonts w:hint="eastAsia" w:ascii="宋体" w:hAnsi="宋体"/>
          <w:szCs w:val="21"/>
          <w:u w:val="single"/>
          <w:lang w:eastAsia="zh-CN"/>
        </w:rPr>
        <w:t>2020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552"/>
        <w:gridCol w:w="184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55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eastAsia="宋体" w:cs="宋体"/>
                <w:kern w:val="0"/>
                <w:szCs w:val="21"/>
                <w:shd w:val="clear" w:color="auto" w:fill="FFFFFF"/>
                <w:lang w:eastAsia="zh-CN"/>
              </w:rPr>
              <w:t>成都鑫泽机械</w:t>
            </w:r>
            <w:r>
              <w:rPr>
                <w:rFonts w:hint="eastAsia" w:ascii="宋体" w:hAnsi="宋体" w:eastAsia="宋体" w:cs="宋体"/>
                <w:kern w:val="0"/>
                <w:szCs w:val="21"/>
                <w:shd w:val="clear" w:color="auto" w:fill="FFFFFF"/>
              </w:rPr>
              <w:t>有限公司</w:t>
            </w:r>
          </w:p>
        </w:tc>
        <w:tc>
          <w:tcPr>
            <w:tcW w:w="184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977"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张重雷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552"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cs="宋体" w:asciiTheme="minorEastAsia" w:hAnsiTheme="minorEastAsia"/>
                <w:kern w:val="0"/>
                <w:szCs w:val="21"/>
              </w:rPr>
              <w:t>ISC-201</w:t>
            </w:r>
            <w:r>
              <w:rPr>
                <w:rFonts w:hint="eastAsia" w:cs="宋体" w:asciiTheme="minorEastAsia" w:hAnsiTheme="minorEastAsia"/>
                <w:kern w:val="0"/>
                <w:szCs w:val="21"/>
                <w:lang w:val="en-US" w:eastAsia="zh-CN"/>
              </w:rPr>
              <w:t>7</w:t>
            </w:r>
            <w:r>
              <w:rPr>
                <w:rFonts w:cs="宋体" w:asciiTheme="minorEastAsia" w:hAnsiTheme="minorEastAsia"/>
                <w:kern w:val="0"/>
                <w:szCs w:val="21"/>
              </w:rPr>
              <w:t>-0</w:t>
            </w:r>
            <w:r>
              <w:rPr>
                <w:rFonts w:hint="eastAsia" w:cs="宋体" w:asciiTheme="minorEastAsia" w:hAnsiTheme="minorEastAsia"/>
                <w:kern w:val="0"/>
                <w:szCs w:val="21"/>
                <w:lang w:val="en-US" w:eastAsia="zh-CN"/>
              </w:rPr>
              <w:t>165</w:t>
            </w:r>
          </w:p>
        </w:tc>
        <w:tc>
          <w:tcPr>
            <w:tcW w:w="184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977"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202</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11</w:t>
            </w:r>
            <w:r>
              <w:rPr>
                <w:rFonts w:hint="eastAsia" w:cs="宋体" w:asciiTheme="minorEastAsia" w:hAnsiTheme="minorEastAsia"/>
                <w:kern w:val="0"/>
                <w:szCs w:val="21"/>
              </w:rPr>
              <w:t>月0</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552" w:type="dxa"/>
          </w:tcPr>
          <w:p>
            <w:pPr>
              <w:tabs>
                <w:tab w:val="left" w:pos="880"/>
              </w:tabs>
              <w:autoSpaceDE w:val="0"/>
              <w:autoSpaceDN w:val="0"/>
              <w:adjustRightInd w:val="0"/>
              <w:spacing w:before="35" w:line="360" w:lineRule="auto"/>
              <w:ind w:right="161" w:firstLine="210" w:firstLineChars="100"/>
              <w:rPr>
                <w:rFonts w:cs="宋体" w:asciiTheme="minorEastAsia" w:hAnsiTheme="minorEastAsia"/>
                <w:kern w:val="0"/>
                <w:szCs w:val="21"/>
              </w:rPr>
            </w:pPr>
            <w:r>
              <w:rPr>
                <w:rFonts w:hint="eastAsia" w:cs="宋体" w:asciiTheme="minorEastAsia" w:hAnsiTheme="minorEastAsia"/>
                <w:kern w:val="0"/>
                <w:szCs w:val="21"/>
              </w:rPr>
              <w:t>第</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次监督审核</w:t>
            </w:r>
          </w:p>
        </w:tc>
        <w:tc>
          <w:tcPr>
            <w:tcW w:w="184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kern w:val="0"/>
                <w:szCs w:val="21"/>
              </w:rPr>
              <w:t>时间</w:t>
            </w:r>
          </w:p>
        </w:tc>
        <w:tc>
          <w:tcPr>
            <w:tcW w:w="2977"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color w:val="FF0000"/>
                <w:kern w:val="0"/>
                <w:szCs w:val="21"/>
                <w:lang w:val="en-US" w:eastAsia="zh-CN"/>
              </w:rPr>
            </w:pPr>
            <w:r>
              <w:rPr>
                <w:rFonts w:hint="eastAsia" w:cs="宋体" w:asciiTheme="minorEastAsia" w:hAnsiTheme="minorEastAsia"/>
                <w:bCs/>
                <w:kern w:val="0"/>
                <w:szCs w:val="21"/>
              </w:rPr>
              <w:t>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360"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360"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552" w:type="dxa"/>
          </w:tcPr>
          <w:p>
            <w:pPr>
              <w:tabs>
                <w:tab w:val="left" w:pos="880"/>
              </w:tabs>
              <w:autoSpaceDE w:val="0"/>
              <w:autoSpaceDN w:val="0"/>
              <w:adjustRightInd w:val="0"/>
              <w:spacing w:before="35" w:line="360" w:lineRule="auto"/>
              <w:ind w:right="161" w:firstLine="210" w:firstLineChars="100"/>
              <w:rPr>
                <w:rFonts w:hint="eastAsia" w:ascii="宋体" w:hAnsi="宋体"/>
                <w:b w:val="0"/>
                <w:bCs w:val="0"/>
                <w:color w:val="FF0000"/>
                <w:szCs w:val="21"/>
              </w:rPr>
            </w:pPr>
            <w:r>
              <w:rPr>
                <w:rFonts w:hint="eastAsia"/>
                <w:b w:val="0"/>
                <w:bCs w:val="0"/>
                <w:color w:val="000000"/>
                <w:szCs w:val="21"/>
                <w:lang w:val="en-US" w:eastAsia="zh-CN"/>
              </w:rPr>
              <w:t xml:space="preserve">孙保健 </w:t>
            </w:r>
            <w:r>
              <w:rPr>
                <w:b w:val="0"/>
                <w:bCs w:val="0"/>
                <w:color w:val="000000"/>
                <w:szCs w:val="21"/>
              </w:rPr>
              <w:t>ISC[S]0176</w:t>
            </w:r>
          </w:p>
          <w:p>
            <w:pPr>
              <w:tabs>
                <w:tab w:val="left" w:pos="880"/>
              </w:tabs>
              <w:autoSpaceDE w:val="0"/>
              <w:autoSpaceDN w:val="0"/>
              <w:adjustRightInd w:val="0"/>
              <w:spacing w:before="35" w:line="360" w:lineRule="auto"/>
              <w:ind w:right="161"/>
              <w:rPr>
                <w:rFonts w:hint="default" w:ascii="宋体" w:hAnsi="宋体"/>
                <w:szCs w:val="21"/>
                <w:lang w:val="en-US" w:eastAsia="zh-CN"/>
              </w:rPr>
            </w:pPr>
            <w:r>
              <w:rPr>
                <w:rFonts w:ascii="宋体" w:hAnsi="宋体"/>
                <w:b w:val="0"/>
                <w:bCs w:val="0"/>
                <w:szCs w:val="21"/>
              </w:rPr>
              <w:t>胡琳</w:t>
            </w:r>
            <w:r>
              <w:rPr>
                <w:rFonts w:hint="eastAsia" w:ascii="宋体" w:hAnsi="宋体"/>
                <w:b w:val="0"/>
                <w:bCs w:val="0"/>
                <w:szCs w:val="21"/>
                <w:lang w:val="en-US" w:eastAsia="zh-CN"/>
              </w:rPr>
              <w:t xml:space="preserve"> ISC[S]0373</w:t>
            </w:r>
          </w:p>
        </w:tc>
        <w:tc>
          <w:tcPr>
            <w:tcW w:w="184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977"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r>
              <w:rPr>
                <w:rFonts w:hint="eastAsia" w:ascii="宋体" w:hAnsi="宋体" w:cs="宋体"/>
                <w:kern w:val="0"/>
                <w:szCs w:val="21"/>
                <w:lang w:eastAsia="zh-CN"/>
              </w:rPr>
              <w:t>综合部</w:t>
            </w:r>
            <w:r>
              <w:rPr>
                <w:rFonts w:hint="eastAsia" w:ascii="宋体" w:hAnsi="宋体" w:cs="宋体"/>
                <w:kern w:val="0"/>
                <w:szCs w:val="21"/>
              </w:rPr>
              <w:t>、生产部、</w:t>
            </w:r>
            <w:r>
              <w:rPr>
                <w:rFonts w:hint="eastAsia" w:ascii="宋体" w:hAnsi="宋体" w:cs="宋体"/>
                <w:kern w:val="0"/>
                <w:szCs w:val="21"/>
                <w:lang w:eastAsia="zh-CN"/>
              </w:rPr>
              <w:t>质保</w:t>
            </w:r>
            <w:r>
              <w:rPr>
                <w:rFonts w:hint="eastAsia" w:ascii="宋体" w:hAnsi="宋体" w:cs="宋体"/>
                <w:kern w:val="0"/>
                <w:szCs w:val="21"/>
              </w:rPr>
              <w:t>部</w:t>
            </w:r>
            <w:r>
              <w:rPr>
                <w:rFonts w:hint="eastAsia" w:ascii="宋体" w:hAnsi="宋体" w:cs="宋体"/>
                <w:kern w:val="0"/>
                <w:szCs w:val="21"/>
                <w:lang w:eastAsia="zh-CN"/>
              </w:rPr>
              <w:t>、技术部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pStyle w:val="9"/>
        <w:widowControl/>
        <w:numPr>
          <w:ilvl w:val="0"/>
          <w:numId w:val="1"/>
        </w:numPr>
        <w:spacing w:line="360" w:lineRule="auto"/>
        <w:ind w:firstLineChars="0"/>
        <w:rPr>
          <w:rFonts w:cs="宋体" w:asciiTheme="minorEastAsia" w:hAnsiTheme="minorEastAsia"/>
          <w:bCs/>
          <w:kern w:val="0"/>
          <w:szCs w:val="21"/>
        </w:rPr>
      </w:pP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400" w:lineRule="exact"/>
        <w:ind w:firstLine="420" w:firstLineChars="200"/>
        <w:rPr>
          <w:rFonts w:cs="宋体" w:asciiTheme="minorEastAsia" w:hAnsiTheme="minorEastAsia"/>
          <w:bCs/>
          <w:kern w:val="0"/>
          <w:szCs w:val="21"/>
        </w:rPr>
      </w:pPr>
      <w:r>
        <w:rPr>
          <w:rFonts w:cs="宋体" w:asciiTheme="minorEastAsia" w:hAnsiTheme="minorEastAsia"/>
          <w:bCs/>
          <w:kern w:val="0"/>
          <w:szCs w:val="21"/>
        </w:rPr>
        <w:t>一年内</w:t>
      </w:r>
      <w:r>
        <w:rPr>
          <w:rFonts w:hint="eastAsia" w:cs="宋体" w:asciiTheme="minorEastAsia" w:hAnsiTheme="minorEastAsia"/>
          <w:bCs/>
          <w:kern w:val="0"/>
          <w:szCs w:val="21"/>
        </w:rPr>
        <w:t>，</w:t>
      </w:r>
      <w:r>
        <w:rPr>
          <w:rFonts w:hint="eastAsia" w:ascii="宋体" w:hAnsi="宋体"/>
          <w:szCs w:val="21"/>
        </w:rPr>
        <w:t>公司</w:t>
      </w:r>
      <w:r>
        <w:rPr>
          <w:rFonts w:hint="eastAsia"/>
          <w:bCs/>
          <w:szCs w:val="21"/>
        </w:rPr>
        <w:t>日常运行中生产、经营、安全、销售及行政管理方面，未出现</w:t>
      </w:r>
      <w:r>
        <w:rPr>
          <w:rFonts w:cs="宋体" w:asciiTheme="minorEastAsia" w:hAnsiTheme="minorEastAsia"/>
          <w:bCs/>
          <w:kern w:val="0"/>
          <w:szCs w:val="21"/>
        </w:rPr>
        <w:t>违反法律</w:t>
      </w:r>
      <w:r>
        <w:rPr>
          <w:rFonts w:hint="eastAsia" w:cs="宋体" w:asciiTheme="minorEastAsia" w:hAnsiTheme="minorEastAsia"/>
          <w:bCs/>
          <w:kern w:val="0"/>
          <w:szCs w:val="21"/>
        </w:rPr>
        <w:t>、</w:t>
      </w:r>
      <w:r>
        <w:rPr>
          <w:rFonts w:cs="宋体" w:asciiTheme="minorEastAsia" w:hAnsiTheme="minorEastAsia"/>
          <w:bCs/>
          <w:kern w:val="0"/>
          <w:szCs w:val="21"/>
        </w:rPr>
        <w:t>法规</w:t>
      </w:r>
      <w:r>
        <w:rPr>
          <w:rFonts w:hint="eastAsia" w:cs="宋体" w:asciiTheme="minorEastAsia" w:hAnsiTheme="minorEastAsia"/>
          <w:bCs/>
          <w:kern w:val="0"/>
          <w:szCs w:val="21"/>
        </w:rPr>
        <w:t>问题或</w:t>
      </w:r>
      <w:r>
        <w:rPr>
          <w:rFonts w:cs="宋体" w:asciiTheme="minorEastAsia" w:hAnsiTheme="minorEastAsia"/>
          <w:bCs/>
          <w:kern w:val="0"/>
          <w:szCs w:val="21"/>
        </w:rPr>
        <w:t>重大事故</w:t>
      </w:r>
      <w:r>
        <w:rPr>
          <w:rFonts w:hint="eastAsia" w:cs="宋体" w:asciiTheme="minorEastAsia" w:hAnsiTheme="minorEastAsia"/>
          <w:bCs/>
          <w:kern w:val="0"/>
          <w:szCs w:val="21"/>
        </w:rPr>
        <w:t>发生</w:t>
      </w:r>
      <w:r>
        <w:rPr>
          <w:rFonts w:hint="eastAsia" w:cs="宋体" w:asciiTheme="minorEastAsia" w:hAnsiTheme="minorEastAsia"/>
          <w:bCs/>
          <w:kern w:val="0"/>
          <w:szCs w:val="21"/>
          <w:lang w:val="en-US" w:eastAsia="zh-CN"/>
        </w:rPr>
        <w:t>,</w:t>
      </w:r>
      <w:r>
        <w:rPr>
          <w:rFonts w:hint="eastAsia" w:cs="宋体" w:asciiTheme="minorEastAsia" w:hAnsiTheme="minorEastAsia"/>
          <w:bCs/>
          <w:kern w:val="0"/>
          <w:szCs w:val="21"/>
        </w:rPr>
        <w:t>满足要求</w:t>
      </w:r>
    </w:p>
    <w:p>
      <w:pPr>
        <w:pStyle w:val="9"/>
        <w:widowControl/>
        <w:numPr>
          <w:ilvl w:val="0"/>
          <w:numId w:val="1"/>
        </w:numPr>
        <w:spacing w:line="360" w:lineRule="auto"/>
        <w:ind w:firstLineChars="0"/>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400" w:lineRule="exact"/>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为有效评价公司测量管理体系认证后一年以来运行情况，</w:t>
      </w:r>
      <w:r>
        <w:rPr>
          <w:rFonts w:hint="eastAsia" w:cs="宋体" w:asciiTheme="minorEastAsia" w:hAnsiTheme="minorEastAsia"/>
          <w:bCs/>
          <w:kern w:val="0"/>
          <w:szCs w:val="21"/>
          <w:lang w:eastAsia="zh-CN"/>
        </w:rPr>
        <w:t>2020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09</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04</w:t>
      </w:r>
      <w:r>
        <w:rPr>
          <w:rFonts w:hint="eastAsia" w:cs="宋体" w:asciiTheme="minorEastAsia" w:hAnsiTheme="minorEastAsia"/>
          <w:bCs/>
          <w:kern w:val="0"/>
          <w:szCs w:val="21"/>
        </w:rPr>
        <w:t>日，</w:t>
      </w:r>
      <w:r>
        <w:rPr>
          <w:rFonts w:hint="eastAsia" w:cs="宋体" w:asciiTheme="minorEastAsia" w:hAnsiTheme="minorEastAsia"/>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（A/0）</w:t>
      </w:r>
      <w:r>
        <w:rPr>
          <w:rFonts w:ascii="宋体" w:hAnsi="宋体"/>
          <w:szCs w:val="21"/>
        </w:rPr>
        <w:t>确认，</w:t>
      </w:r>
      <w:r>
        <w:rPr>
          <w:rFonts w:hint="eastAsia" w:ascii="宋体" w:hAnsi="宋体"/>
          <w:szCs w:val="21"/>
          <w:lang w:eastAsia="zh-CN"/>
        </w:rPr>
        <w:t>在</w:t>
      </w:r>
      <w:r>
        <w:rPr>
          <w:rFonts w:hint="eastAsia" w:cs="宋体" w:asciiTheme="minorEastAsia" w:hAnsiTheme="minorEastAsia"/>
          <w:bCs/>
          <w:kern w:val="0"/>
          <w:szCs w:val="21"/>
        </w:rPr>
        <w:t>现场审核中，审核组先、后抽样检查了涉及公司测量体系内的管理、生产、经营、质量和环境等方面的</w:t>
      </w:r>
      <w:r>
        <w:rPr>
          <w:rFonts w:hint="eastAsia" w:cs="宋体" w:asciiTheme="minorEastAsia" w:hAnsiTheme="minorEastAsia"/>
          <w:bCs/>
          <w:kern w:val="0"/>
          <w:szCs w:val="21"/>
          <w:lang w:val="en-US" w:eastAsia="zh-CN"/>
        </w:rPr>
        <w:t>4</w:t>
      </w:r>
      <w:r>
        <w:rPr>
          <w:rFonts w:hint="eastAsia" w:cs="宋体" w:asciiTheme="minorEastAsia" w:hAnsiTheme="minorEastAsia"/>
          <w:bCs/>
          <w:kern w:val="0"/>
          <w:szCs w:val="21"/>
        </w:rPr>
        <w:t>个职能部门</w:t>
      </w:r>
      <w:r>
        <w:rPr>
          <w:rFonts w:hint="eastAsia" w:cs="宋体" w:asciiTheme="minorEastAsia" w:hAnsiTheme="minorEastAsia"/>
          <w:bCs/>
          <w:kern w:val="0"/>
          <w:szCs w:val="21"/>
          <w:lang w:eastAsia="zh-CN"/>
        </w:rPr>
        <w:t>及</w:t>
      </w:r>
      <w:r>
        <w:rPr>
          <w:rFonts w:hint="eastAsia" w:cs="宋体" w:asciiTheme="minorEastAsia" w:hAnsiTheme="minorEastAsia"/>
          <w:bCs/>
          <w:kern w:val="0"/>
          <w:szCs w:val="21"/>
        </w:rPr>
        <w:t>车间，该企业不是重点耗能单位，企业的能源计量器具的配备率及准确度等级均满足G</w:t>
      </w:r>
      <w:r>
        <w:rPr>
          <w:rFonts w:cs="宋体" w:asciiTheme="minorEastAsia" w:hAnsiTheme="minorEastAsia"/>
          <w:bCs/>
          <w:kern w:val="0"/>
          <w:szCs w:val="21"/>
        </w:rPr>
        <w:t>B17167-2006</w:t>
      </w:r>
      <w:r>
        <w:rPr>
          <w:rFonts w:hint="eastAsia" w:cs="宋体" w:asciiTheme="minorEastAsia" w:hAnsiTheme="minorEastAsia"/>
          <w:bCs/>
          <w:kern w:val="0"/>
          <w:szCs w:val="21"/>
        </w:rPr>
        <w:t>标准要求。重点抽查</w:t>
      </w:r>
      <w:r>
        <w:rPr>
          <w:rFonts w:hint="eastAsia" w:ascii="宋体" w:hAnsi="宋体"/>
          <w:szCs w:val="21"/>
        </w:rPr>
        <w:t>了公司计量特征突出的重要环节、</w:t>
      </w:r>
      <w:r>
        <w:rPr>
          <w:rFonts w:hint="eastAsia" w:ascii="宋体" w:hAnsi="宋体" w:eastAsia="宋体" w:cs="Times New Roman"/>
          <w:szCs w:val="21"/>
        </w:rPr>
        <w:t>原材料（外购件、外协件进厂检测）、组装生产线中产品的各种综合性能检测等测量过程</w:t>
      </w:r>
      <w:r>
        <w:rPr>
          <w:rFonts w:hint="eastAsia" w:ascii="宋体" w:hAnsi="宋体"/>
          <w:szCs w:val="21"/>
        </w:rPr>
        <w:t>以及量值溯源系统</w:t>
      </w:r>
      <w:r>
        <w:rPr>
          <w:rFonts w:hint="eastAsia" w:cs="宋体" w:asciiTheme="minorEastAsia" w:hAnsiTheme="minorEastAsia"/>
          <w:bCs/>
          <w:kern w:val="0"/>
          <w:szCs w:val="21"/>
        </w:rPr>
        <w:t>，同时，跟踪验证了该公司在获得测量管理体系认证后，对体系的运行监视、分析完善和持续改进等工作情况。</w:t>
      </w:r>
    </w:p>
    <w:p>
      <w:pPr>
        <w:widowControl/>
        <w:spacing w:line="400" w:lineRule="exact"/>
        <w:ind w:firstLine="420" w:firstLineChars="200"/>
        <w:rPr>
          <w:rFonts w:cs="宋体" w:asciiTheme="minorEastAsia" w:hAnsiTheme="minorEastAsia"/>
          <w:bCs/>
          <w:kern w:val="0"/>
          <w:szCs w:val="21"/>
        </w:rPr>
      </w:pPr>
      <w:r>
        <w:rPr>
          <w:rFonts w:hint="eastAsia" w:cs="宋体" w:asciiTheme="minorEastAsia" w:hAnsiTheme="minorEastAsia"/>
          <w:bCs/>
          <w:kern w:val="0"/>
          <w:szCs w:val="21"/>
        </w:rPr>
        <w:t xml:space="preserve">公司测量管理体系的符合性、有效性及持续改进，符合GB/T 19022-2003标准要求，公司测量管理体系正常有序运行，较好地满足了公司生产、销售和持续发展的需要。 </w:t>
      </w:r>
    </w:p>
    <w:p>
      <w:pPr>
        <w:widowControl/>
        <w:spacing w:line="440" w:lineRule="exact"/>
        <w:rPr>
          <w:rFonts w:cs="宋体" w:asciiTheme="minorEastAsia" w:hAnsiTheme="minorEastAsia"/>
          <w:bCs/>
          <w:kern w:val="0"/>
          <w:szCs w:val="21"/>
        </w:rPr>
      </w:pPr>
      <w:r>
        <w:rPr>
          <w:rFonts w:hint="eastAsia" w:cs="宋体" w:asciiTheme="minorEastAsia" w:hAnsiTheme="minorEastAsia"/>
          <w:bCs/>
          <w:kern w:val="0"/>
          <w:szCs w:val="21"/>
        </w:rPr>
        <w:t>3.</w:t>
      </w: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400" w:lineRule="exact"/>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在审核过程中了解到，该公司于</w:t>
      </w:r>
      <w:r>
        <w:rPr>
          <w:rFonts w:hint="eastAsia" w:cs="宋体" w:asciiTheme="minorEastAsia" w:hAnsiTheme="minorEastAsia"/>
          <w:bCs/>
          <w:kern w:val="0"/>
          <w:szCs w:val="21"/>
          <w:lang w:eastAsia="zh-CN"/>
        </w:rPr>
        <w:t>2020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20-25</w:t>
      </w:r>
      <w:r>
        <w:rPr>
          <w:rFonts w:hint="eastAsia" w:cs="宋体" w:asciiTheme="minorEastAsia" w:hAnsiTheme="minorEastAsia"/>
          <w:bCs/>
          <w:kern w:val="0"/>
          <w:szCs w:val="21"/>
        </w:rPr>
        <w:t>日 组织了内部审核，对内审中提出的</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项不符合项（一般不符合）制定了纠正措施</w:t>
      </w:r>
      <w:r>
        <w:rPr>
          <w:rFonts w:hint="eastAsia" w:cs="宋体" w:asciiTheme="minorEastAsia" w:hAnsiTheme="minorEastAsia"/>
          <w:bCs/>
          <w:kern w:val="0"/>
          <w:szCs w:val="21"/>
          <w:lang w:val="en-US" w:eastAsia="zh-CN"/>
        </w:rPr>
        <w:t>并在2020年8月5日完成了整改</w:t>
      </w:r>
      <w:r>
        <w:rPr>
          <w:rFonts w:hint="eastAsia" w:cs="宋体" w:asciiTheme="minorEastAsia" w:hAnsiTheme="minorEastAsia"/>
          <w:bCs/>
          <w:kern w:val="0"/>
          <w:szCs w:val="21"/>
        </w:rPr>
        <w:t>，</w:t>
      </w:r>
      <w:r>
        <w:rPr>
          <w:rFonts w:hint="eastAsia" w:cs="宋体" w:asciiTheme="minorEastAsia" w:hAnsiTheme="minorEastAsia"/>
          <w:bCs/>
          <w:kern w:val="0"/>
          <w:szCs w:val="21"/>
          <w:lang w:eastAsia="zh-CN"/>
        </w:rPr>
        <w:t>2020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10</w:t>
      </w:r>
      <w:r>
        <w:rPr>
          <w:rFonts w:hint="eastAsia" w:cs="宋体" w:asciiTheme="minorEastAsia" w:hAnsiTheme="minorEastAsia"/>
          <w:bCs/>
          <w:kern w:val="0"/>
          <w:szCs w:val="21"/>
        </w:rPr>
        <w:t>日进行了</w:t>
      </w:r>
      <w:r>
        <w:rPr>
          <w:rFonts w:hint="eastAsia" w:cs="宋体" w:asciiTheme="minorEastAsia" w:hAnsiTheme="minorEastAsia"/>
          <w:bCs/>
          <w:kern w:val="0"/>
          <w:szCs w:val="21"/>
          <w:lang w:val="en-US" w:eastAsia="zh-CN"/>
        </w:rPr>
        <w:t>2019年度</w:t>
      </w:r>
      <w:r>
        <w:rPr>
          <w:rFonts w:hint="eastAsia" w:cs="宋体" w:asciiTheme="minorEastAsia" w:hAnsiTheme="minorEastAsia"/>
          <w:bCs/>
          <w:kern w:val="0"/>
          <w:szCs w:val="21"/>
        </w:rPr>
        <w:t>管理评审，对测量管理体系进行了有效评价，确保了测量管理体系的运行质量。</w:t>
      </w:r>
    </w:p>
    <w:p>
      <w:pPr>
        <w:widowControl/>
        <w:spacing w:line="440" w:lineRule="exact"/>
        <w:rPr>
          <w:rFonts w:asciiTheme="minorEastAsia" w:hAnsiTheme="minorEastAsia"/>
          <w:bCs/>
          <w:szCs w:val="21"/>
        </w:rPr>
      </w:pPr>
      <w:r>
        <w:rPr>
          <w:rFonts w:hint="eastAsia" w:asciiTheme="minorEastAsia" w:hAnsiTheme="minorEastAsia"/>
          <w:bCs/>
          <w:szCs w:val="21"/>
        </w:rPr>
        <w:t>4.为持续改进而策划的活动的进展</w:t>
      </w:r>
      <w:r>
        <w:rPr>
          <w:rFonts w:hint="eastAsia" w:cs="宋体" w:asciiTheme="minorEastAsia" w:hAnsiTheme="minorEastAsia"/>
          <w:bCs/>
          <w:kern w:val="0"/>
          <w:szCs w:val="21"/>
        </w:rPr>
        <w:t xml:space="preserve"> </w:t>
      </w:r>
      <w:r>
        <w:rPr>
          <w:rFonts w:cs="宋体" w:asciiTheme="minorEastAsia" w:hAnsiTheme="minorEastAsia"/>
          <w:bCs/>
          <w:kern w:val="0"/>
          <w:szCs w:val="21"/>
        </w:rPr>
        <w:t>，包括：</w:t>
      </w:r>
      <w:r>
        <w:rPr>
          <w:rFonts w:hint="eastAsia" w:cs="宋体" w:asciiTheme="minorEastAsia" w:hAnsiTheme="minorEastAsia"/>
          <w:bCs/>
          <w:kern w:val="0"/>
          <w:szCs w:val="21"/>
        </w:rPr>
        <w:t>(对重点关键测量过程的控制进行抽查)</w:t>
      </w:r>
    </w:p>
    <w:p>
      <w:pPr>
        <w:widowControl/>
        <w:spacing w:line="400" w:lineRule="exact"/>
        <w:ind w:firstLine="420" w:firstLineChars="200"/>
        <w:rPr>
          <w:rFonts w:asciiTheme="minorEastAsia" w:hAnsiTheme="minorEastAsia"/>
          <w:bCs/>
          <w:szCs w:val="21"/>
        </w:rPr>
      </w:pPr>
      <w:r>
        <w:rPr>
          <w:rFonts w:hint="eastAsia" w:cs="宋体" w:asciiTheme="minorEastAsia" w:hAnsiTheme="minorEastAsia"/>
          <w:kern w:val="0"/>
          <w:szCs w:val="21"/>
        </w:rPr>
        <w:t>4.1</w:t>
      </w:r>
      <w:r>
        <w:rPr>
          <w:rFonts w:cs="宋体" w:asciiTheme="minorEastAsia" w:hAnsiTheme="minorEastAsia"/>
          <w:kern w:val="0"/>
          <w:szCs w:val="21"/>
        </w:rPr>
        <w:t xml:space="preserve"> </w:t>
      </w:r>
      <w:r>
        <w:rPr>
          <w:rFonts w:hint="eastAsia" w:ascii="宋体" w:hAnsi="宋体" w:eastAsia="宋体" w:cs="宋体"/>
          <w:kern w:val="0"/>
          <w:szCs w:val="21"/>
          <w:shd w:val="clear" w:color="auto" w:fill="FFFFFF"/>
          <w:lang w:eastAsia="zh-CN"/>
        </w:rPr>
        <w:t>成都鑫泽机械</w:t>
      </w:r>
      <w:r>
        <w:rPr>
          <w:rFonts w:hint="eastAsia" w:ascii="宋体" w:hAnsi="宋体" w:eastAsia="宋体" w:cs="宋体"/>
          <w:kern w:val="0"/>
          <w:szCs w:val="21"/>
          <w:shd w:val="clear" w:color="auto" w:fill="FFFFFF"/>
        </w:rPr>
        <w:t>有限公司</w:t>
      </w:r>
      <w:r>
        <w:rPr>
          <w:rFonts w:hint="eastAsia" w:cs="宋体" w:asciiTheme="minorEastAsia" w:hAnsiTheme="minorEastAsia"/>
          <w:kern w:val="0"/>
          <w:szCs w:val="21"/>
        </w:rPr>
        <w:t>领导层重视测量管理体系各项工作，职能部门职能作用发挥较好，建立的测量管理体系，运行正常，并持续符合相关法律、法规的要求；</w:t>
      </w:r>
    </w:p>
    <w:p>
      <w:pPr>
        <w:widowControl/>
        <w:spacing w:line="4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4.2 </w:t>
      </w:r>
      <w:r>
        <w:rPr>
          <w:rFonts w:cs="宋体" w:asciiTheme="minorEastAsia" w:hAnsiTheme="minorEastAsia"/>
          <w:kern w:val="0"/>
          <w:szCs w:val="21"/>
        </w:rPr>
        <w:t xml:space="preserve"> </w:t>
      </w:r>
      <w:r>
        <w:rPr>
          <w:rFonts w:hint="eastAsia" w:cs="宋体" w:asciiTheme="minorEastAsia" w:hAnsiTheme="minorEastAsia"/>
          <w:kern w:val="0"/>
          <w:szCs w:val="21"/>
          <w:lang w:eastAsia="zh-CN"/>
        </w:rPr>
        <w:t>2020</w:t>
      </w:r>
      <w:r>
        <w:rPr>
          <w:rFonts w:hint="eastAsia" w:cs="宋体" w:asciiTheme="minorEastAsia" w:hAnsiTheme="minorEastAsia"/>
          <w:kern w:val="0"/>
          <w:szCs w:val="21"/>
        </w:rPr>
        <w:t>年质量目标考核细则已确认，并按规定的内容和时间进行考核，年度质量目标完成情况较好；</w:t>
      </w:r>
    </w:p>
    <w:p>
      <w:pPr>
        <w:widowControl/>
        <w:spacing w:line="4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4.3</w:t>
      </w:r>
      <w:r>
        <w:rPr>
          <w:rFonts w:cs="宋体" w:asciiTheme="minorEastAsia" w:hAnsiTheme="minorEastAsia"/>
          <w:kern w:val="0"/>
          <w:szCs w:val="21"/>
        </w:rPr>
        <w:t xml:space="preserve"> </w:t>
      </w:r>
      <w:r>
        <w:rPr>
          <w:rFonts w:hint="eastAsia" w:cs="宋体" w:asciiTheme="minorEastAsia" w:hAnsiTheme="minorEastAsia"/>
          <w:kern w:val="0"/>
          <w:szCs w:val="21"/>
        </w:rPr>
        <w:t>抽查了企业对已识别的</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个关键测量过程：</w:t>
      </w:r>
      <w:r>
        <w:rPr>
          <w:rFonts w:hint="eastAsia" w:cs="宋体" w:asciiTheme="minorEastAsia" w:hAnsiTheme="minorEastAsia"/>
          <w:kern w:val="0"/>
          <w:szCs w:val="21"/>
          <w:lang w:eastAsia="zh-CN"/>
        </w:rPr>
        <w:t>装配尺寸测量过程、整机运行噪声检测过程，</w:t>
      </w:r>
      <w:r>
        <w:rPr>
          <w:rFonts w:hint="eastAsia" w:cs="宋体" w:asciiTheme="minorEastAsia" w:hAnsiTheme="minorEastAsia"/>
          <w:kern w:val="0"/>
          <w:szCs w:val="21"/>
        </w:rPr>
        <w:t>体系运行一年来未有新增测量过程，对高度控制的测量过程能进行有效性控制、监视，记录、监视控制图齐全，完整；抽查了产品</w:t>
      </w:r>
      <w:bookmarkStart w:id="1" w:name="_GoBack"/>
      <w:r>
        <w:rPr>
          <w:rFonts w:hint="eastAsia" w:cs="宋体" w:asciiTheme="minorEastAsia" w:hAnsiTheme="minorEastAsia"/>
          <w:kern w:val="0"/>
          <w:szCs w:val="21"/>
        </w:rPr>
        <w:t>制动盘</w:t>
      </w:r>
      <w:bookmarkEnd w:id="1"/>
      <w:r>
        <w:rPr>
          <w:rFonts w:hint="eastAsia" w:cs="宋体" w:asciiTheme="minorEastAsia" w:hAnsiTheme="minorEastAsia"/>
          <w:kern w:val="0"/>
          <w:szCs w:val="21"/>
          <w:lang w:eastAsia="zh-CN"/>
        </w:rPr>
        <w:t>装配尺寸测量过程</w:t>
      </w:r>
      <w:r>
        <w:rPr>
          <w:rFonts w:hint="eastAsia" w:cs="宋体" w:asciiTheme="minorEastAsia" w:hAnsiTheme="minorEastAsia"/>
          <w:kern w:val="0"/>
          <w:szCs w:val="21"/>
        </w:rPr>
        <w:t>控制的监视记录，见附页：测量过程监视统计记录表及监视控制图。</w:t>
      </w:r>
    </w:p>
    <w:p>
      <w:pPr>
        <w:widowControl/>
        <w:spacing w:line="440" w:lineRule="exact"/>
        <w:rPr>
          <w:rFonts w:cs="宋体" w:asciiTheme="minorEastAsia" w:hAnsiTheme="minorEastAsia"/>
          <w:bCs/>
          <w:kern w:val="0"/>
          <w:szCs w:val="21"/>
        </w:rPr>
      </w:pPr>
      <w:r>
        <w:rPr>
          <w:rFonts w:hint="eastAsia" w:asciiTheme="minorEastAsia" w:hAnsiTheme="minorEastAsia"/>
          <w:bCs/>
          <w:szCs w:val="21"/>
        </w:rPr>
        <w:t>5.对认证审核时提出的不符合项的纠正措施情况有表述</w:t>
      </w:r>
      <w:r>
        <w:rPr>
          <w:rFonts w:cs="宋体" w:asciiTheme="minorEastAsia" w:hAnsiTheme="minorEastAsia"/>
          <w:bCs/>
          <w:kern w:val="0"/>
          <w:szCs w:val="21"/>
        </w:rPr>
        <w:t>：</w:t>
      </w:r>
    </w:p>
    <w:p>
      <w:pPr>
        <w:pStyle w:val="9"/>
        <w:widowControl/>
        <w:spacing w:line="360" w:lineRule="auto"/>
        <w:ind w:left="420" w:firstLine="0" w:firstLineChars="0"/>
        <w:jc w:val="left"/>
        <w:rPr>
          <w:rFonts w:hint="eastAsia" w:cs="宋体"/>
          <w:kern w:val="0"/>
        </w:rPr>
      </w:pPr>
      <w:r>
        <w:rPr>
          <w:rFonts w:hint="eastAsia" w:cs="宋体"/>
          <w:kern w:val="0"/>
        </w:rPr>
        <w:t>公司已针对上一年度开具的不符合项已采取有效措施，已关闭。</w:t>
      </w:r>
    </w:p>
    <w:p>
      <w:pPr>
        <w:pStyle w:val="9"/>
        <w:widowControl/>
        <w:numPr>
          <w:ilvl w:val="0"/>
          <w:numId w:val="0"/>
        </w:numPr>
        <w:spacing w:line="276"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抽查公司能源管理情况：</w:t>
      </w:r>
    </w:p>
    <w:p>
      <w:pPr>
        <w:pStyle w:val="9"/>
        <w:widowControl/>
        <w:spacing w:line="360" w:lineRule="auto"/>
        <w:ind w:left="420" w:firstLine="0" w:firstLineChars="0"/>
        <w:jc w:val="left"/>
        <w:rPr>
          <w:rFonts w:ascii="宋体" w:hAnsi="宋体" w:eastAsia="宋体" w:cs="宋体"/>
          <w:kern w:val="0"/>
          <w:szCs w:val="21"/>
        </w:rPr>
      </w:pPr>
      <w:r>
        <w:rPr>
          <w:rFonts w:hint="eastAsia" w:ascii="宋体" w:hAnsi="宋体" w:eastAsia="宋体" w:cs="宋体"/>
          <w:kern w:val="0"/>
          <w:szCs w:val="21"/>
        </w:rPr>
        <w:t>该公司不属于重点能耗企业，已经按</w:t>
      </w:r>
      <w:r>
        <w:rPr>
          <w:rFonts w:hint="eastAsia" w:ascii="宋体" w:hAnsi="宋体" w:eastAsia="宋体" w:cs="宋体"/>
          <w:kern w:val="0"/>
          <w:szCs w:val="21"/>
          <w:lang w:val="en-US" w:eastAsia="zh-CN"/>
        </w:rPr>
        <w:t>GB17167</w:t>
      </w:r>
      <w:r>
        <w:rPr>
          <w:rFonts w:hint="eastAsia" w:ascii="宋体" w:hAnsi="宋体" w:eastAsia="宋体" w:cs="宋体"/>
          <w:kern w:val="0"/>
          <w:szCs w:val="21"/>
        </w:rPr>
        <w:t>要求</w:t>
      </w:r>
      <w:r>
        <w:rPr>
          <w:rFonts w:hint="eastAsia" w:cs="宋体" w:asciiTheme="minorEastAsia" w:hAnsiTheme="minorEastAsia"/>
          <w:kern w:val="0"/>
          <w:szCs w:val="21"/>
          <w:lang w:eastAsia="zh-CN"/>
        </w:rPr>
        <w:t>配</w:t>
      </w:r>
      <w:r>
        <w:rPr>
          <w:rFonts w:hint="eastAsia" w:cs="宋体" w:asciiTheme="minorEastAsia" w:hAnsiTheme="minorEastAsia"/>
          <w:kern w:val="0"/>
          <w:szCs w:val="21"/>
          <w:lang w:val="en-US" w:eastAsia="zh-CN"/>
        </w:rPr>
        <w:t>备了一块水表2块电能表</w:t>
      </w:r>
      <w:r>
        <w:rPr>
          <w:rFonts w:hint="eastAsia" w:ascii="宋体" w:hAnsi="宋体" w:eastAsia="宋体" w:cs="宋体"/>
          <w:kern w:val="0"/>
          <w:szCs w:val="21"/>
        </w:rPr>
        <w:t>统计</w:t>
      </w:r>
      <w:r>
        <w:rPr>
          <w:rFonts w:hint="eastAsia" w:ascii="宋体" w:hAnsi="宋体" w:eastAsia="宋体" w:cs="宋体"/>
          <w:kern w:val="0"/>
          <w:szCs w:val="21"/>
          <w:lang w:eastAsia="zh-CN"/>
        </w:rPr>
        <w:t>了</w:t>
      </w:r>
      <w:r>
        <w:rPr>
          <w:rFonts w:hint="eastAsia" w:cs="宋体" w:asciiTheme="minorEastAsia" w:hAnsiTheme="minorEastAsia"/>
          <w:kern w:val="0"/>
          <w:szCs w:val="21"/>
          <w:lang w:val="en-US" w:eastAsia="zh-CN"/>
        </w:rPr>
        <w:t>2019年</w:t>
      </w:r>
      <w:r>
        <w:rPr>
          <w:rFonts w:hint="eastAsia" w:ascii="宋体" w:hAnsi="宋体" w:eastAsia="宋体" w:cs="宋体"/>
          <w:kern w:val="0"/>
          <w:szCs w:val="21"/>
        </w:rPr>
        <w:t>水电气总能耗</w:t>
      </w:r>
      <w:r>
        <w:rPr>
          <w:rFonts w:hint="eastAsia" w:ascii="宋体" w:hAnsi="宋体" w:eastAsia="宋体" w:cs="宋体"/>
          <w:kern w:val="0"/>
          <w:szCs w:val="21"/>
          <w:lang w:val="en-US" w:eastAsia="zh-CN"/>
        </w:rPr>
        <w:t>折合标煤</w:t>
      </w:r>
      <w:r>
        <w:rPr>
          <w:rFonts w:hint="eastAsia" w:ascii="宋体" w:hAnsi="宋体" w:eastAsia="宋体" w:cs="宋体"/>
          <w:color w:val="000000" w:themeColor="text1"/>
          <w:kern w:val="0"/>
          <w:szCs w:val="21"/>
          <w:lang w:val="en-US" w:eastAsia="zh-CN"/>
        </w:rPr>
        <w:t>470</w:t>
      </w:r>
      <w:r>
        <w:rPr>
          <w:rFonts w:hint="eastAsia" w:ascii="宋体" w:hAnsi="宋体" w:eastAsia="宋体" w:cs="宋体"/>
          <w:color w:val="auto"/>
          <w:kern w:val="0"/>
          <w:szCs w:val="21"/>
          <w:lang w:val="en-US" w:eastAsia="zh-CN"/>
        </w:rPr>
        <w:t>吨</w:t>
      </w:r>
      <w:r>
        <w:rPr>
          <w:rFonts w:hint="eastAsia" w:ascii="宋体" w:hAnsi="宋体" w:eastAsia="宋体" w:cs="宋体"/>
          <w:kern w:val="0"/>
          <w:szCs w:val="21"/>
        </w:rPr>
        <w:t>。</w:t>
      </w:r>
    </w:p>
    <w:p>
      <w:pPr>
        <w:pStyle w:val="9"/>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对投诉的处理</w:t>
      </w:r>
      <w:r>
        <w:rPr>
          <w:rFonts w:cs="宋体" w:asciiTheme="minorEastAsia" w:hAnsiTheme="minorEastAsia"/>
          <w:bCs/>
          <w:kern w:val="0"/>
          <w:szCs w:val="21"/>
        </w:rPr>
        <w:t>情况：</w:t>
      </w:r>
    </w:p>
    <w:p>
      <w:pPr>
        <w:widowControl/>
        <w:spacing w:line="400" w:lineRule="exact"/>
        <w:ind w:firstLine="420" w:firstLineChars="200"/>
        <w:rPr>
          <w:rFonts w:asciiTheme="minorEastAsia" w:hAnsiTheme="minorEastAsia"/>
          <w:bCs/>
          <w:szCs w:val="21"/>
        </w:rPr>
      </w:pPr>
      <w:r>
        <w:rPr>
          <w:rFonts w:hint="eastAsia" w:asciiTheme="minorEastAsia" w:hAnsiTheme="minorEastAsia"/>
          <w:bCs/>
          <w:szCs w:val="21"/>
        </w:rPr>
        <w:t>公司目前尚未接到客户在产品质量、物料交接、能源、安全、现场管理等方面的投诉和纠纷。</w:t>
      </w:r>
    </w:p>
    <w:p>
      <w:pPr>
        <w:widowControl/>
        <w:spacing w:line="440" w:lineRule="exact"/>
        <w:rPr>
          <w:rFonts w:cs="宋体" w:asciiTheme="minorEastAsia" w:hAnsiTheme="minorEastAsia"/>
          <w:bCs/>
          <w:kern w:val="0"/>
          <w:szCs w:val="21"/>
        </w:rPr>
      </w:pPr>
      <w:r>
        <w:rPr>
          <w:rFonts w:hint="eastAsia" w:asciiTheme="minorEastAsia" w:hAnsiTheme="minorEastAsia"/>
          <w:bCs/>
          <w:szCs w:val="21"/>
          <w:lang w:val="en-US" w:eastAsia="zh-CN"/>
        </w:rPr>
        <w:t>8</w:t>
      </w: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spacing w:line="400" w:lineRule="exact"/>
        <w:ind w:firstLine="420" w:firstLineChars="200"/>
        <w:rPr>
          <w:rFonts w:asciiTheme="minorEastAsia" w:hAnsiTheme="minorEastAsia"/>
          <w:bCs/>
          <w:szCs w:val="21"/>
        </w:rPr>
      </w:pPr>
      <w:r>
        <w:rPr>
          <w:rFonts w:hint="eastAsia" w:asciiTheme="minorEastAsia" w:hAnsiTheme="minorEastAsia"/>
          <w:bCs/>
          <w:szCs w:val="21"/>
        </w:rPr>
        <w:t>公司《计量工作质量目标管理程序》，规定了公司的计量方针及5项质量目标 ，是管理体系追求的承诺和准则，内容基本覆盖标准要素。公司将质量目标考核细则已纳入员工绩效考核表，进一步体现了实现顾客、质量、服务等方面的要求，符合GB/T 19022-2003标准要求，适应性、有效性及对持续运作的控制</w:t>
      </w:r>
      <w:r>
        <w:rPr>
          <w:rFonts w:hint="eastAsia" w:asciiTheme="minorEastAsia" w:hAnsiTheme="minorEastAsia"/>
          <w:bCs/>
          <w:color w:val="FF0000"/>
          <w:szCs w:val="21"/>
        </w:rPr>
        <w:t>。</w:t>
      </w:r>
    </w:p>
    <w:p>
      <w:pPr>
        <w:pStyle w:val="9"/>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对企业组织任何变更的审核</w:t>
      </w:r>
    </w:p>
    <w:p>
      <w:pPr>
        <w:widowControl/>
        <w:spacing w:line="360" w:lineRule="auto"/>
        <w:ind w:firstLine="210" w:firstLineChars="100"/>
        <w:rPr>
          <w:rFonts w:hint="eastAsia" w:asciiTheme="minorEastAsia" w:hAnsiTheme="minorEastAsia"/>
          <w:bCs/>
          <w:szCs w:val="21"/>
        </w:rPr>
      </w:pPr>
      <w:r>
        <w:rPr>
          <w:rFonts w:hint="eastAsia" w:asciiTheme="minorEastAsia" w:hAnsiTheme="minorEastAsia"/>
          <w:bCs/>
          <w:szCs w:val="21"/>
        </w:rPr>
        <w:t>企业在本年度内未发生与本审核有关的变更。</w:t>
      </w:r>
    </w:p>
    <w:p>
      <w:pPr>
        <w:pStyle w:val="9"/>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10.</w:t>
      </w:r>
      <w:r>
        <w:rPr>
          <w:rFonts w:hint="eastAsia" w:cs="宋体" w:asciiTheme="minorEastAsia" w:hAnsiTheme="minorEastAsia"/>
          <w:bCs/>
          <w:kern w:val="0"/>
          <w:szCs w:val="21"/>
        </w:rPr>
        <w:t>标志的使用和（或）任何其他对认证资格引用</w:t>
      </w:r>
      <w:r>
        <w:rPr>
          <w:rFonts w:cs="宋体" w:asciiTheme="minorEastAsia" w:hAnsiTheme="minorEastAsia"/>
          <w:bCs/>
          <w:kern w:val="0"/>
          <w:szCs w:val="21"/>
        </w:rPr>
        <w:t>的情况：</w:t>
      </w:r>
    </w:p>
    <w:p>
      <w:pPr>
        <w:widowControl/>
        <w:spacing w:line="400" w:lineRule="exact"/>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该公司已按要求北京国标联合认证有限公司要求正确使用标志和证书。</w:t>
      </w:r>
    </w:p>
    <w:p>
      <w:pPr>
        <w:widowControl/>
        <w:spacing w:line="400" w:lineRule="exact"/>
        <w:rPr>
          <w:rFonts w:ascii="宋体" w:hAnsi="宋体" w:eastAsia="宋体" w:cs="宋体"/>
          <w:color w:val="auto"/>
          <w:kern w:val="0"/>
          <w:szCs w:val="21"/>
        </w:rPr>
      </w:pPr>
      <w:r>
        <w:rPr>
          <w:rFonts w:hint="eastAsia" w:ascii="宋体" w:hAnsi="宋体" w:eastAsia="宋体" w:cs="宋体"/>
          <w:color w:val="auto"/>
          <w:kern w:val="0"/>
          <w:szCs w:val="21"/>
        </w:rPr>
        <w:t>10. 本次监督审核</w:t>
      </w:r>
      <w:r>
        <w:rPr>
          <w:rFonts w:hint="eastAsia" w:ascii="宋体" w:hAnsi="宋体" w:eastAsia="宋体" w:cs="宋体"/>
          <w:color w:val="auto"/>
          <w:kern w:val="0"/>
          <w:szCs w:val="21"/>
          <w:lang w:val="en-US" w:eastAsia="zh-CN"/>
        </w:rPr>
        <w:t>未发现</w:t>
      </w:r>
      <w:r>
        <w:rPr>
          <w:rFonts w:hint="eastAsia" w:ascii="宋体" w:hAnsi="宋体" w:eastAsia="宋体" w:cs="宋体"/>
          <w:color w:val="auto"/>
          <w:kern w:val="0"/>
          <w:szCs w:val="21"/>
        </w:rPr>
        <w:t>不符合项，未发现严重的或系统性的不符合情况：</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三、</w:t>
      </w:r>
      <w:r>
        <w:rPr>
          <w:rFonts w:cs="宋体" w:asciiTheme="minorEastAsia" w:hAnsiTheme="minorEastAsia"/>
          <w:b/>
          <w:bCs/>
          <w:kern w:val="0"/>
          <w:szCs w:val="21"/>
        </w:rPr>
        <w:t>监督审核结论意见(含需要说明的事项):</w:t>
      </w:r>
    </w:p>
    <w:p>
      <w:pPr>
        <w:widowControl/>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通过2020</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09</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04</w:t>
      </w:r>
      <w:r>
        <w:rPr>
          <w:rFonts w:hint="eastAsia" w:ascii="宋体" w:hAnsi="宋体" w:eastAsia="宋体" w:cs="宋体"/>
          <w:bCs/>
          <w:kern w:val="0"/>
          <w:szCs w:val="21"/>
        </w:rPr>
        <w:t>日对</w:t>
      </w:r>
      <w:r>
        <w:rPr>
          <w:rFonts w:hint="eastAsia" w:ascii="宋体" w:hAnsi="宋体" w:eastAsia="宋体" w:cs="宋体"/>
          <w:kern w:val="0"/>
          <w:szCs w:val="21"/>
          <w:shd w:val="clear" w:color="auto" w:fill="FFFFFF"/>
          <w:lang w:eastAsia="zh-CN"/>
        </w:rPr>
        <w:t>成都鑫泽机械</w:t>
      </w:r>
      <w:r>
        <w:rPr>
          <w:rFonts w:hint="eastAsia" w:ascii="宋体" w:hAnsi="宋体" w:eastAsia="宋体" w:cs="宋体"/>
          <w:kern w:val="0"/>
          <w:szCs w:val="21"/>
          <w:shd w:val="clear" w:color="auto" w:fill="FFFFFF"/>
        </w:rPr>
        <w:t>有限公司</w:t>
      </w:r>
      <w:r>
        <w:rPr>
          <w:rFonts w:hint="eastAsia" w:ascii="宋体" w:hAnsi="宋体" w:eastAsia="宋体" w:cs="宋体"/>
          <w:bCs/>
          <w:kern w:val="0"/>
          <w:szCs w:val="21"/>
        </w:rPr>
        <w:t>建立的测量管理体系进行年度监督审核.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eastAsia="宋体" w:cs="宋体"/>
          <w:kern w:val="0"/>
          <w:szCs w:val="21"/>
          <w:shd w:val="clear" w:color="auto" w:fill="FFFFFF"/>
          <w:lang w:eastAsia="zh-CN"/>
        </w:rPr>
        <w:t>成都鑫泽机械</w:t>
      </w:r>
      <w:r>
        <w:rPr>
          <w:rFonts w:hint="eastAsia" w:ascii="宋体" w:hAnsi="宋体" w:eastAsia="宋体" w:cs="宋体"/>
          <w:kern w:val="0"/>
          <w:szCs w:val="21"/>
          <w:shd w:val="clear" w:color="auto" w:fill="FFFFFF"/>
        </w:rPr>
        <w:t>有限公司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400" w:lineRule="exact"/>
        <w:ind w:firstLine="420" w:firstLineChars="200"/>
        <w:rPr>
          <w:rStyle w:val="10"/>
          <w:rFonts w:ascii="宋体" w:hAnsi="宋体" w:eastAsia="宋体"/>
          <w:sz w:val="21"/>
          <w:szCs w:val="21"/>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企业加强体系文件的宣贯培训，提升全员计量意识</w:t>
      </w:r>
      <w:r>
        <w:rPr>
          <w:rFonts w:hint="eastAsia" w:ascii="宋体" w:hAnsi="宋体" w:eastAsia="宋体" w:cs="宋体"/>
          <w:bCs/>
          <w:kern w:val="0"/>
          <w:szCs w:val="21"/>
        </w:rPr>
        <w:t xml:space="preserve">，加强对重要、关键测量过程的识别、控制工作，使测量管理体系能够更加有效地发挥作用。 </w:t>
      </w:r>
    </w:p>
    <w:p>
      <w:pPr>
        <w:pStyle w:val="11"/>
        <w:widowControl/>
        <w:spacing w:line="360" w:lineRule="auto"/>
        <w:ind w:right="55" w:firstLine="420"/>
        <w:rPr>
          <w:rStyle w:val="10"/>
          <w:rFonts w:ascii="宋体" w:hAnsi="宋体" w:eastAsia="宋体"/>
          <w:sz w:val="21"/>
          <w:szCs w:val="21"/>
        </w:rPr>
      </w:pPr>
    </w:p>
    <w:p>
      <w:pPr>
        <w:pStyle w:val="11"/>
        <w:widowControl/>
        <w:spacing w:line="360" w:lineRule="auto"/>
        <w:ind w:right="55" w:firstLine="720" w:firstLineChars="300"/>
        <w:rPr>
          <w:rFonts w:hint="eastAsia" w:ascii="宋体" w:hAnsi="宋体" w:eastAsia="宋体" w:cs="宋体"/>
          <w:szCs w:val="28"/>
          <w:lang w:val="en-US" w:eastAsia="zh-CN"/>
        </w:rPr>
      </w:pPr>
      <w:r>
        <w:rPr>
          <w:rFonts w:ascii="宋体" w:hAnsi="宋体" w:eastAsia="宋体" w:cs="宋体"/>
          <w:szCs w:val="28"/>
        </w:rPr>
        <w:t>审核员 （签字）：</w:t>
      </w:r>
      <w:r>
        <w:rPr>
          <w:rFonts w:hint="eastAsia" w:ascii="宋体" w:hAnsi="宋体" w:eastAsia="宋体" w:cs="宋体"/>
          <w:szCs w:val="28"/>
          <w:lang w:val="en-US" w:eastAsia="zh-CN"/>
        </w:rPr>
        <w:t xml:space="preserve">                         </w:t>
      </w:r>
    </w:p>
    <w:p>
      <w:pPr>
        <w:pStyle w:val="11"/>
        <w:widowControl/>
        <w:spacing w:line="360" w:lineRule="auto"/>
        <w:ind w:right="55" w:firstLine="5760" w:firstLineChars="2400"/>
        <w:rPr>
          <w:rFonts w:hint="default" w:ascii="宋体" w:hAnsi="宋体" w:eastAsia="宋体" w:cs="黑体"/>
          <w:sz w:val="21"/>
          <w:szCs w:val="21"/>
          <w:lang w:val="en-US" w:eastAsia="zh-CN"/>
        </w:rPr>
      </w:pPr>
      <w:r>
        <w:rPr>
          <w:rFonts w:hint="eastAsia" w:ascii="宋体" w:hAnsi="宋体" w:eastAsia="宋体" w:cs="宋体"/>
          <w:szCs w:val="28"/>
          <w:lang w:val="en-US" w:eastAsia="zh-CN"/>
        </w:rPr>
        <w:t>2020.09.04</w:t>
      </w:r>
    </w:p>
    <w:p>
      <w:pPr>
        <w:widowControl/>
        <w:spacing w:line="360" w:lineRule="auto"/>
        <w:ind w:right="1365"/>
        <w:rPr>
          <w:rFonts w:ascii="宋体" w:hAnsi="宋体" w:eastAsia="宋体" w:cs="宋体"/>
          <w:b/>
          <w:bCs/>
          <w:kern w:val="0"/>
          <w:szCs w:val="21"/>
        </w:rPr>
      </w:pPr>
    </w:p>
    <w:p>
      <w:pPr>
        <w:widowControl/>
        <w:spacing w:line="360"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360" w:lineRule="auto"/>
        <w:ind w:firstLine="3118" w:firstLineChars="1485"/>
        <w:jc w:val="left"/>
        <w:rPr>
          <w:rFonts w:ascii="宋体" w:hAnsi="宋体" w:eastAsia="宋体" w:cs="宋体"/>
          <w:kern w:val="0"/>
          <w:szCs w:val="28"/>
        </w:rPr>
      </w:pPr>
    </w:p>
    <w:p>
      <w:pPr>
        <w:widowControl/>
        <w:spacing w:line="360" w:lineRule="auto"/>
        <w:ind w:firstLine="3118" w:firstLineChars="1485"/>
        <w:jc w:val="left"/>
        <w:rPr>
          <w:rFonts w:ascii="宋体" w:hAnsi="宋体" w:eastAsia="宋体" w:cs="宋体"/>
          <w:kern w:val="0"/>
          <w:szCs w:val="28"/>
        </w:rPr>
      </w:pPr>
    </w:p>
    <w:p>
      <w:pPr>
        <w:widowControl/>
        <w:spacing w:line="360"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360" w:lineRule="auto"/>
        <w:ind w:right="1050"/>
        <w:rPr>
          <w:rFonts w:ascii="宋体" w:hAnsi="宋体" w:eastAsia="宋体" w:cs="宋体"/>
          <w:b/>
          <w:bCs/>
          <w:kern w:val="0"/>
          <w:szCs w:val="21"/>
        </w:rPr>
      </w:pPr>
    </w:p>
    <w:p>
      <w:pPr>
        <w:widowControl/>
        <w:spacing w:line="360" w:lineRule="auto"/>
        <w:ind w:right="1050"/>
        <w:rPr>
          <w:rFonts w:ascii="宋体" w:hAnsi="宋体" w:eastAsia="宋体" w:cs="宋体"/>
          <w:b/>
          <w:bCs/>
          <w:kern w:val="0"/>
          <w:szCs w:val="21"/>
        </w:rPr>
      </w:pPr>
    </w:p>
    <w:p>
      <w:pPr>
        <w:widowControl/>
        <w:spacing w:line="360"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p>
      <w:pPr>
        <w:widowControl/>
        <w:spacing w:line="360" w:lineRule="auto"/>
        <w:ind w:right="360"/>
        <w:rPr>
          <w:rFonts w:ascii="Times New Roman" w:hAnsi="Times New Roman" w:eastAsia="宋体" w:cs="Times New Roman"/>
          <w:bCs/>
          <w:kern w:val="0"/>
          <w:sz w:val="18"/>
          <w:szCs w:val="1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4097" o:spt="202" type="#_x0000_t202" style="position:absolute;left:0pt;margin-left:288.95pt;margin-top:15.6pt;height:20.6pt;width:173.9pt;z-index:251659264;mso-width-relative:page;mso-height-relative:page;" stroked="f" coordsize="21600,21600"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 xml:space="preserve"> 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szCs w:val="21"/>
      </w:rPr>
      <w:t xml:space="preserve">   </w:t>
    </w:r>
    <w:r>
      <w:rPr>
        <w:rStyle w:val="8"/>
        <w:rFonts w:hint="default" w:ascii="Times New Roman" w:hAnsi="Times New Roman" w:cs="Times New Roman"/>
        <w:szCs w:val="21"/>
      </w:rPr>
      <w:t>北京国标联合认证有限公司</w:t>
    </w:r>
  </w:p>
  <w:p>
    <w:pPr>
      <w:pStyle w:val="3"/>
      <w:pBdr>
        <w:bottom w:val="none" w:color="auto" w:sz="0" w:space="1"/>
      </w:pBdr>
      <w:spacing w:line="320" w:lineRule="exact"/>
      <w:jc w:val="left"/>
    </w:pPr>
    <w:r>
      <w:rPr>
        <w:rStyle w:val="8"/>
        <w:rFonts w:hint="default" w:ascii="Times New Roman" w:hAnsi="Times New Roman" w:cs="Times New Roman"/>
        <w:szCs w:val="21"/>
      </w:rPr>
      <w:t xml:space="preserve">   </w:t>
    </w:r>
    <w:r>
      <w:rPr>
        <w:rStyle w:val="8"/>
        <w:rFonts w:hint="default" w:ascii="Times New Roman" w:hAnsi="Times New Roman" w:cs="Times New Roman"/>
        <w:w w:val="80"/>
        <w:szCs w:val="21"/>
      </w:rPr>
      <w:t xml:space="preserve">Beijing International Standard united Certification Co.,Ltd. </w:t>
    </w:r>
    <w:r>
      <w:rPr>
        <w:rStyle w:val="8"/>
        <w:rFonts w:hint="default"/>
        <w:w w:val="90"/>
        <w:sz w:val="18"/>
      </w:rPr>
      <w:t xml:space="preserve">                     </w:t>
    </w:r>
  </w:p>
  <w:p>
    <w:pPr>
      <w:rPr>
        <w:sz w:val="18"/>
        <w:szCs w:val="18"/>
      </w:rPr>
    </w:pPr>
    <w:r>
      <w:rPr>
        <w:sz w:val="18"/>
      </w:rPr>
      <w:pict>
        <v:line id="直线 3" o:spid="_x0000_s4098" o:spt="20" style="position:absolute;left:0pt;margin-left:-23.7pt;margin-top:2.35pt;height:0.7pt;width:460.6pt;z-index:251660288;mso-width-relative:page;mso-height-relative:page;" coordsize="21600,21600"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v:path arrowok="t"/>
          <v:fill focussize="0,0"/>
          <v:stroke/>
          <v:imagedata o:title=""/>
          <o:lock v:ext="edit"/>
        </v:line>
      </w:pict>
    </w:r>
    <w:bookmarkEnd w:id="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A5D12"/>
    <w:multiLevelType w:val="multilevel"/>
    <w:tmpl w:val="3B8A5D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2605"/>
    <w:rsid w:val="00001EFE"/>
    <w:rsid w:val="0000351D"/>
    <w:rsid w:val="00032845"/>
    <w:rsid w:val="000D737A"/>
    <w:rsid w:val="000F42D0"/>
    <w:rsid w:val="000F6CCC"/>
    <w:rsid w:val="0012312B"/>
    <w:rsid w:val="001811DC"/>
    <w:rsid w:val="00191E71"/>
    <w:rsid w:val="001F66DA"/>
    <w:rsid w:val="002569B6"/>
    <w:rsid w:val="002701A1"/>
    <w:rsid w:val="002C36E2"/>
    <w:rsid w:val="002E397E"/>
    <w:rsid w:val="0030082D"/>
    <w:rsid w:val="00321F73"/>
    <w:rsid w:val="00353EAB"/>
    <w:rsid w:val="003727D2"/>
    <w:rsid w:val="00381C80"/>
    <w:rsid w:val="00393C4D"/>
    <w:rsid w:val="003B0D1A"/>
    <w:rsid w:val="003B2FF7"/>
    <w:rsid w:val="003C25DA"/>
    <w:rsid w:val="003F21F1"/>
    <w:rsid w:val="003F320E"/>
    <w:rsid w:val="00416F29"/>
    <w:rsid w:val="004615A5"/>
    <w:rsid w:val="004965DE"/>
    <w:rsid w:val="004A5891"/>
    <w:rsid w:val="004B3874"/>
    <w:rsid w:val="004D7195"/>
    <w:rsid w:val="00503004"/>
    <w:rsid w:val="00504944"/>
    <w:rsid w:val="00524180"/>
    <w:rsid w:val="00542FC1"/>
    <w:rsid w:val="00554BFE"/>
    <w:rsid w:val="005912DB"/>
    <w:rsid w:val="005C0DC7"/>
    <w:rsid w:val="005F6387"/>
    <w:rsid w:val="00617A99"/>
    <w:rsid w:val="00622FCA"/>
    <w:rsid w:val="00660D3C"/>
    <w:rsid w:val="00690C29"/>
    <w:rsid w:val="00694890"/>
    <w:rsid w:val="006B2605"/>
    <w:rsid w:val="006E2089"/>
    <w:rsid w:val="0070391A"/>
    <w:rsid w:val="00714A13"/>
    <w:rsid w:val="00742DD4"/>
    <w:rsid w:val="007609C2"/>
    <w:rsid w:val="00786D4C"/>
    <w:rsid w:val="00795D58"/>
    <w:rsid w:val="007B16DA"/>
    <w:rsid w:val="007C5832"/>
    <w:rsid w:val="007E20F9"/>
    <w:rsid w:val="00821E35"/>
    <w:rsid w:val="00822A88"/>
    <w:rsid w:val="00842859"/>
    <w:rsid w:val="00845622"/>
    <w:rsid w:val="00847DEA"/>
    <w:rsid w:val="00863661"/>
    <w:rsid w:val="0087168C"/>
    <w:rsid w:val="0087270F"/>
    <w:rsid w:val="00880CD0"/>
    <w:rsid w:val="00894C78"/>
    <w:rsid w:val="00897DC3"/>
    <w:rsid w:val="008A03D9"/>
    <w:rsid w:val="008E69E2"/>
    <w:rsid w:val="00915EA5"/>
    <w:rsid w:val="00932462"/>
    <w:rsid w:val="0094582B"/>
    <w:rsid w:val="00980E86"/>
    <w:rsid w:val="009954C3"/>
    <w:rsid w:val="009B246B"/>
    <w:rsid w:val="009C6468"/>
    <w:rsid w:val="009D387A"/>
    <w:rsid w:val="009D4C3A"/>
    <w:rsid w:val="009E059D"/>
    <w:rsid w:val="00A03794"/>
    <w:rsid w:val="00A16E2F"/>
    <w:rsid w:val="00A17AB2"/>
    <w:rsid w:val="00A520FA"/>
    <w:rsid w:val="00A71D09"/>
    <w:rsid w:val="00A72491"/>
    <w:rsid w:val="00AA57FD"/>
    <w:rsid w:val="00AF6EBD"/>
    <w:rsid w:val="00B063C4"/>
    <w:rsid w:val="00B54E55"/>
    <w:rsid w:val="00B970F9"/>
    <w:rsid w:val="00C17837"/>
    <w:rsid w:val="00C536C5"/>
    <w:rsid w:val="00C760E0"/>
    <w:rsid w:val="00CB3AA9"/>
    <w:rsid w:val="00CB517A"/>
    <w:rsid w:val="00CC18AF"/>
    <w:rsid w:val="00D52D7D"/>
    <w:rsid w:val="00D63498"/>
    <w:rsid w:val="00D85083"/>
    <w:rsid w:val="00D957B1"/>
    <w:rsid w:val="00DC2A13"/>
    <w:rsid w:val="00DC4708"/>
    <w:rsid w:val="00DC4CAB"/>
    <w:rsid w:val="00E14519"/>
    <w:rsid w:val="00E1650B"/>
    <w:rsid w:val="00E311FC"/>
    <w:rsid w:val="00E35754"/>
    <w:rsid w:val="00E57204"/>
    <w:rsid w:val="00E7414D"/>
    <w:rsid w:val="00E84A93"/>
    <w:rsid w:val="00EA1DBB"/>
    <w:rsid w:val="00EC5C29"/>
    <w:rsid w:val="00F337FF"/>
    <w:rsid w:val="00F91504"/>
    <w:rsid w:val="00F93FAD"/>
    <w:rsid w:val="00FA2B0D"/>
    <w:rsid w:val="00FB2D4F"/>
    <w:rsid w:val="00FB5DA3"/>
    <w:rsid w:val="00FC32BD"/>
    <w:rsid w:val="00FD399A"/>
    <w:rsid w:val="00FD533E"/>
    <w:rsid w:val="00FF3F0A"/>
    <w:rsid w:val="0CB315B8"/>
    <w:rsid w:val="1D5E1F47"/>
    <w:rsid w:val="26FB76A4"/>
    <w:rsid w:val="27554591"/>
    <w:rsid w:val="27C2283C"/>
    <w:rsid w:val="33CA306D"/>
    <w:rsid w:val="38914658"/>
    <w:rsid w:val="3CD47550"/>
    <w:rsid w:val="447018AF"/>
    <w:rsid w:val="497C14D1"/>
    <w:rsid w:val="49C14E74"/>
    <w:rsid w:val="4FDC3C4B"/>
    <w:rsid w:val="51C16409"/>
    <w:rsid w:val="547533AA"/>
    <w:rsid w:val="58082CF0"/>
    <w:rsid w:val="5F5A1C17"/>
    <w:rsid w:val="61A667FC"/>
    <w:rsid w:val="633470C3"/>
    <w:rsid w:val="69130F11"/>
    <w:rsid w:val="6E6D5D6B"/>
    <w:rsid w:val="707F0D4F"/>
    <w:rsid w:val="74832446"/>
    <w:rsid w:val="7BFF489C"/>
    <w:rsid w:val="7DD87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nhideWhenUsed/>
    <w:qFormat/>
    <w:uiPriority w:val="99"/>
    <w:pPr>
      <w:ind w:firstLine="420" w:firstLineChars="200"/>
    </w:pPr>
  </w:style>
  <w:style w:type="character" w:customStyle="1" w:styleId="10">
    <w:name w:val="Font Style137"/>
    <w:qFormat/>
    <w:uiPriority w:val="0"/>
    <w:rPr>
      <w:rFonts w:ascii="黑体" w:eastAsia="黑体" w:cs="黑体"/>
      <w:sz w:val="20"/>
      <w:szCs w:val="20"/>
    </w:rPr>
  </w:style>
  <w:style w:type="paragraph" w:customStyle="1" w:styleId="11">
    <w:name w:val="Style52"/>
    <w:basedOn w:val="1"/>
    <w:qFormat/>
    <w:uiPriority w:val="0"/>
    <w:pPr>
      <w:adjustRightInd w:val="0"/>
      <w:jc w:val="left"/>
    </w:pPr>
    <w:rPr>
      <w:rFonts w:ascii="黑体" w:hAnsi="Times New Roman" w:eastAsia="黑体" w:cs="Times New Roman"/>
      <w:kern w:val="0"/>
      <w:sz w:val="24"/>
      <w:szCs w:val="24"/>
    </w:rPr>
  </w:style>
  <w:style w:type="character" w:customStyle="1" w:styleId="12">
    <w:name w:val="Font Style99"/>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417</Words>
  <Characters>2381</Characters>
  <Lines>19</Lines>
  <Paragraphs>5</Paragraphs>
  <TotalTime>7</TotalTime>
  <ScaleCrop>false</ScaleCrop>
  <LinksUpToDate>false</LinksUpToDate>
  <CharactersWithSpaces>2793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Administrator</cp:lastModifiedBy>
  <cp:lastPrinted>2017-09-01T06:24:00Z</cp:lastPrinted>
  <dcterms:modified xsi:type="dcterms:W3CDTF">2020-09-06T05:36:34Z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