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96"/>
        <w:gridCol w:w="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996" w:type="dxa"/>
            <w:vAlign w:val="center"/>
          </w:tcPr>
          <w:p>
            <w:pPr>
              <w:rPr>
                <w:color w:val="auto"/>
                <w:sz w:val="24"/>
                <w:szCs w:val="24"/>
              </w:rPr>
            </w:pPr>
            <w:r>
              <w:rPr>
                <w:rFonts w:hint="eastAsia"/>
                <w:color w:val="auto"/>
                <w:sz w:val="24"/>
                <w:szCs w:val="24"/>
              </w:rPr>
              <w:t>受审核部门：综合部(含财务)      主管领导：刘辉           陪同人员：王彦芬</w:t>
            </w:r>
          </w:p>
        </w:tc>
        <w:tc>
          <w:tcPr>
            <w:tcW w:w="59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996" w:type="dxa"/>
            <w:vAlign w:val="center"/>
          </w:tcPr>
          <w:p>
            <w:pPr>
              <w:spacing w:before="120"/>
              <w:rPr>
                <w:color w:val="auto"/>
              </w:rPr>
            </w:pPr>
            <w:r>
              <w:rPr>
                <w:rFonts w:hint="eastAsia"/>
                <w:color w:val="auto"/>
                <w:sz w:val="24"/>
                <w:szCs w:val="24"/>
              </w:rPr>
              <w:t>审核员：</w:t>
            </w:r>
            <w:r>
              <w:rPr>
                <w:color w:val="auto"/>
                <w:sz w:val="21"/>
                <w:szCs w:val="21"/>
              </w:rPr>
              <w:t>王志慧</w:t>
            </w:r>
            <w:r>
              <w:rPr>
                <w:rFonts w:hint="eastAsia"/>
                <w:color w:val="auto"/>
                <w:sz w:val="21"/>
                <w:szCs w:val="21"/>
                <w:lang w:eastAsia="zh-CN"/>
              </w:rPr>
              <w:t>见证</w:t>
            </w:r>
            <w:r>
              <w:rPr>
                <w:rFonts w:hint="eastAsia"/>
                <w:color w:val="auto"/>
                <w:sz w:val="21"/>
                <w:szCs w:val="21"/>
                <w:lang w:val="en-US" w:eastAsia="zh-CN"/>
              </w:rPr>
              <w:t>E</w:t>
            </w:r>
            <w:r>
              <w:rPr>
                <w:rFonts w:hint="eastAsia"/>
                <w:color w:val="auto"/>
                <w:sz w:val="21"/>
                <w:szCs w:val="21"/>
                <w:lang w:eastAsia="zh-CN"/>
              </w:rPr>
              <w:t>，</w:t>
            </w:r>
            <w:r>
              <w:rPr>
                <w:color w:val="auto"/>
                <w:sz w:val="21"/>
                <w:szCs w:val="21"/>
              </w:rPr>
              <w:t>李雅静</w:t>
            </w:r>
            <w:r>
              <w:rPr>
                <w:rFonts w:hint="eastAsia"/>
                <w:color w:val="auto"/>
                <w:sz w:val="20"/>
                <w:lang w:eastAsia="zh-CN"/>
              </w:rPr>
              <w:t>被见证</w:t>
            </w:r>
            <w:r>
              <w:rPr>
                <w:rFonts w:hint="eastAsia"/>
                <w:color w:val="auto"/>
                <w:sz w:val="20"/>
                <w:lang w:val="en-US" w:eastAsia="zh-CN"/>
              </w:rPr>
              <w:t xml:space="preserve">E   </w:t>
            </w:r>
            <w:r>
              <w:rPr>
                <w:rFonts w:hint="eastAsia" w:ascii="宋体" w:hAnsi="宋体" w:cs="宋体"/>
                <w:color w:val="auto"/>
                <w:szCs w:val="21"/>
                <w:lang w:val="en-US" w:eastAsia="zh-CN"/>
              </w:rPr>
              <w:t>O审核员</w:t>
            </w:r>
            <w:r>
              <w:rPr>
                <w:color w:val="auto"/>
                <w:sz w:val="21"/>
                <w:szCs w:val="21"/>
              </w:rPr>
              <w:t>李雅静</w:t>
            </w:r>
            <w:r>
              <w:rPr>
                <w:rFonts w:hint="eastAsia"/>
                <w:color w:val="auto"/>
                <w:sz w:val="24"/>
                <w:szCs w:val="24"/>
              </w:rPr>
              <w:t xml:space="preserve">     审核时间：</w:t>
            </w:r>
            <w:r>
              <w:rPr>
                <w:rFonts w:hint="eastAsia" w:ascii="宋体" w:hAnsi="宋体" w:cs="宋体"/>
                <w:color w:val="auto"/>
                <w:szCs w:val="21"/>
              </w:rPr>
              <w:t>20</w:t>
            </w:r>
            <w:r>
              <w:rPr>
                <w:rFonts w:ascii="宋体" w:hAnsi="宋体" w:cs="宋体"/>
                <w:color w:val="auto"/>
                <w:szCs w:val="21"/>
              </w:rPr>
              <w:t>20</w:t>
            </w:r>
            <w:r>
              <w:rPr>
                <w:rFonts w:hint="eastAsia" w:ascii="宋体" w:hAnsi="宋体" w:cs="宋体"/>
                <w:color w:val="auto"/>
                <w:szCs w:val="21"/>
              </w:rPr>
              <w:t>年0</w:t>
            </w:r>
            <w:r>
              <w:rPr>
                <w:rFonts w:ascii="宋体" w:hAnsi="宋体" w:cs="宋体"/>
                <w:color w:val="auto"/>
                <w:szCs w:val="21"/>
              </w:rPr>
              <w:t>9</w:t>
            </w:r>
            <w:r>
              <w:rPr>
                <w:rFonts w:hint="eastAsia" w:ascii="宋体" w:hAnsi="宋体" w:cs="宋体"/>
                <w:color w:val="auto"/>
                <w:szCs w:val="21"/>
              </w:rPr>
              <w:t>月1</w:t>
            </w:r>
            <w:r>
              <w:rPr>
                <w:rFonts w:ascii="宋体" w:hAnsi="宋体" w:cs="宋体"/>
                <w:color w:val="auto"/>
                <w:szCs w:val="21"/>
              </w:rPr>
              <w:t>1</w:t>
            </w:r>
            <w:r>
              <w:rPr>
                <w:rFonts w:hint="eastAsia" w:ascii="宋体" w:hAnsi="宋体" w:cs="宋体"/>
                <w:color w:val="auto"/>
                <w:szCs w:val="21"/>
              </w:rPr>
              <w:t>日</w:t>
            </w:r>
          </w:p>
        </w:tc>
        <w:tc>
          <w:tcPr>
            <w:tcW w:w="59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996" w:type="dxa"/>
            <w:vAlign w:val="center"/>
          </w:tcPr>
          <w:p>
            <w:pPr>
              <w:rPr>
                <w:rFonts w:ascii="宋体" w:hAnsi="宋体"/>
                <w:color w:val="auto"/>
                <w:szCs w:val="21"/>
              </w:rPr>
            </w:pPr>
            <w:r>
              <w:rPr>
                <w:rFonts w:hint="eastAsia"/>
                <w:color w:val="auto"/>
                <w:sz w:val="24"/>
                <w:szCs w:val="24"/>
              </w:rPr>
              <w:t>审核条款：</w:t>
            </w:r>
            <w:r>
              <w:rPr>
                <w:rFonts w:hint="eastAsia"/>
                <w:color w:val="auto"/>
                <w:sz w:val="24"/>
                <w:szCs w:val="24"/>
                <w:lang w:val="en-US" w:eastAsia="zh-CN"/>
              </w:rPr>
              <w:t xml:space="preserve">E  </w:t>
            </w:r>
            <w:r>
              <w:rPr>
                <w:rFonts w:ascii="宋体" w:hAnsi="宋体"/>
                <w:color w:val="auto"/>
                <w:szCs w:val="21"/>
              </w:rPr>
              <w:t>5.3/5.4/6.1/6.2/(7.2/7.3/7.4) /7.5/8.1.2/8.1.3/8.2/9.2</w:t>
            </w:r>
          </w:p>
          <w:p>
            <w:pPr>
              <w:rPr>
                <w:rFonts w:ascii="宋体" w:hAnsi="宋体"/>
                <w:color w:val="auto"/>
                <w:szCs w:val="21"/>
              </w:rPr>
            </w:pPr>
            <w:r>
              <w:rPr>
                <w:rFonts w:hint="eastAsia"/>
                <w:color w:val="auto"/>
                <w:sz w:val="24"/>
                <w:szCs w:val="24"/>
                <w:lang w:val="en-US" w:eastAsia="zh-CN"/>
              </w:rPr>
              <w:t xml:space="preserve">O  </w:t>
            </w:r>
            <w:r>
              <w:rPr>
                <w:rFonts w:ascii="宋体" w:hAnsi="宋体"/>
                <w:color w:val="auto"/>
                <w:szCs w:val="21"/>
              </w:rPr>
              <w:t>5.3/5.4/6.1/6.2/(7.2/7.3/7.4) /7.5/8.1.2/8.1.3/8.2/9.2</w:t>
            </w:r>
          </w:p>
        </w:tc>
        <w:tc>
          <w:tcPr>
            <w:tcW w:w="59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tc>
        <w:tc>
          <w:tcPr>
            <w:tcW w:w="960" w:type="dxa"/>
          </w:tcPr>
          <w:p>
            <w:pPr>
              <w:spacing w:line="280" w:lineRule="exact"/>
              <w:rPr>
                <w:rFonts w:ascii="宋体" w:cs="宋体"/>
                <w:szCs w:val="21"/>
              </w:rPr>
            </w:pPr>
            <w:r>
              <w:rPr>
                <w:rFonts w:ascii="宋体" w:cs="宋体"/>
                <w:szCs w:val="21"/>
              </w:rPr>
              <w:t>E/O 5.3</w:t>
            </w:r>
          </w:p>
          <w:p/>
        </w:tc>
        <w:tc>
          <w:tcPr>
            <w:tcW w:w="10996" w:type="dxa"/>
          </w:tcPr>
          <w:p>
            <w:pPr>
              <w:spacing w:line="360" w:lineRule="auto"/>
              <w:ind w:firstLine="420" w:firstLineChars="200"/>
            </w:pPr>
            <w:r>
              <w:rPr>
                <w:rFonts w:hint="eastAsia" w:ascii="宋体" w:hAnsi="宋体" w:cs="宋体"/>
                <w:szCs w:val="21"/>
              </w:rPr>
              <w:t>公司手册文件和管理文件中规定各岗位人员职责、权限和相互关系，手册中提出的各部门职责在公司的《岗位职责权限》中，实际并有提供该文件。涉及到过程控制时候能够在手册及程序文件中见到对主责部门的职责描述，公司对各级员工进行了必要的传达。询</w:t>
            </w:r>
            <w:r>
              <w:rPr>
                <w:rFonts w:hint="eastAsia"/>
              </w:rPr>
              <w:t>问综合部刘辉主要职责，回答基本正确，沟通顺畅。</w:t>
            </w:r>
          </w:p>
          <w:p>
            <w:pPr>
              <w:spacing w:line="360" w:lineRule="auto"/>
              <w:ind w:firstLine="420" w:firstLineChars="200"/>
            </w:pPr>
            <w:r>
              <w:rPr>
                <w:rFonts w:hint="eastAsia"/>
              </w:rPr>
              <w:t>职责权限基本如下：</w:t>
            </w:r>
          </w:p>
          <w:p>
            <w:pPr>
              <w:spacing w:line="360" w:lineRule="auto"/>
              <w:ind w:firstLine="420" w:firstLineChars="200"/>
            </w:pPr>
            <w:r>
              <w:rPr>
                <w:rFonts w:hint="eastAsia"/>
              </w:rPr>
              <w:t>a）负责公司管理体系的建立、运行、保持和持续改进；协调处理公司环境管理体系所涉及的有关事宜；提出本部门的培训需求； </w:t>
            </w:r>
          </w:p>
          <w:p>
            <w:pPr>
              <w:spacing w:line="360" w:lineRule="auto"/>
              <w:ind w:firstLine="420" w:firstLineChars="200"/>
            </w:pPr>
            <w:r>
              <w:rPr>
                <w:rFonts w:hint="eastAsia"/>
              </w:rPr>
              <w:t>b）负责公司环境、职业健康安全管理体系文件的控制，组织对现有体系文件的定期评审；</w:t>
            </w:r>
          </w:p>
          <w:p>
            <w:pPr>
              <w:spacing w:line="360" w:lineRule="auto"/>
              <w:ind w:firstLine="420" w:firstLineChars="200"/>
            </w:pPr>
            <w:r>
              <w:rPr>
                <w:rFonts w:hint="eastAsia"/>
              </w:rPr>
              <w:t> c）负责有关法律法规和其他要求的获取、识别、追溯有效性及控制； </w:t>
            </w:r>
          </w:p>
          <w:p>
            <w:pPr>
              <w:spacing w:line="360" w:lineRule="auto"/>
              <w:ind w:firstLine="420" w:firstLineChars="200"/>
            </w:pPr>
            <w:r>
              <w:rPr>
                <w:rFonts w:hint="eastAsia"/>
              </w:rPr>
              <w:t>d)  负责环境记录的归口管理，检查各类记录的填写、收集、保管情况； </w:t>
            </w:r>
          </w:p>
          <w:p>
            <w:pPr>
              <w:spacing w:line="360" w:lineRule="auto"/>
              <w:ind w:firstLine="420" w:firstLineChars="200"/>
            </w:pPr>
            <w:r>
              <w:rPr>
                <w:rFonts w:hint="eastAsia"/>
              </w:rPr>
              <w:t>e）负责制定内部年度内审计划，收集保存内审记录； </w:t>
            </w:r>
          </w:p>
          <w:p>
            <w:pPr>
              <w:spacing w:line="360" w:lineRule="auto"/>
              <w:ind w:firstLine="420" w:firstLineChars="200"/>
            </w:pPr>
            <w:r>
              <w:rPr>
                <w:rFonts w:hint="eastAsia"/>
              </w:rPr>
              <w:t>f）负责人力资源的控制，确认培训需求，制定年度培训计划并组织实施。确保公司内与环境有影响的所有工作人员都经过培训，具备适当的教育、专业技能、工作经验，尤其是能够胜任所承担工作; </w:t>
            </w:r>
          </w:p>
          <w:p>
            <w:pPr>
              <w:spacing w:line="360" w:lineRule="auto"/>
              <w:ind w:firstLine="420" w:firstLineChars="200"/>
            </w:pPr>
            <w:r>
              <w:rPr>
                <w:rFonts w:hint="eastAsia"/>
              </w:rPr>
              <w:t>g）负责组织公司相关信息的内部、外部交流、传递、处理、记录； </w:t>
            </w:r>
          </w:p>
          <w:p>
            <w:pPr>
              <w:spacing w:line="360" w:lineRule="auto"/>
              <w:ind w:firstLine="420" w:firstLineChars="200"/>
            </w:pPr>
            <w:r>
              <w:rPr>
                <w:rFonts w:hint="eastAsia"/>
              </w:rPr>
              <w:t> h) 负责合规性评价和报告的编制。 </w:t>
            </w:r>
          </w:p>
          <w:p>
            <w:pPr>
              <w:spacing w:line="360" w:lineRule="auto"/>
              <w:ind w:firstLine="420" w:firstLineChars="200"/>
            </w:pPr>
            <w:r>
              <w:rPr>
                <w:rFonts w:hint="eastAsia"/>
              </w:rPr>
              <w:t>i）负责公司管理体系的策划，确定、批准和发布方针、目标； </w:t>
            </w:r>
          </w:p>
          <w:p>
            <w:pPr>
              <w:spacing w:line="360" w:lineRule="auto"/>
              <w:ind w:firstLine="420" w:firstLineChars="200"/>
            </w:pPr>
            <w:r>
              <w:rPr>
                <w:rFonts w:hint="eastAsia"/>
              </w:rPr>
              <w:t> j）负责对各部门产生的废弃物进行分类收集； </w:t>
            </w:r>
          </w:p>
          <w:p>
            <w:pPr>
              <w:spacing w:line="360" w:lineRule="auto"/>
              <w:ind w:firstLine="420" w:firstLineChars="200"/>
            </w:pPr>
            <w:r>
              <w:rPr>
                <w:rFonts w:hint="eastAsia"/>
              </w:rPr>
              <w:t> k）负责各部门不符合行为控制；</w:t>
            </w:r>
          </w:p>
          <w:p>
            <w:pPr>
              <w:spacing w:line="360" w:lineRule="auto"/>
              <w:ind w:firstLine="420" w:firstLineChars="200"/>
            </w:pPr>
            <w:r>
              <w:rPr>
                <w:rFonts w:hint="eastAsia"/>
              </w:rPr>
              <w:t>l）负责对各部门环境及职业健康安全绩效进行监测和测量； </w:t>
            </w:r>
          </w:p>
          <w:p>
            <w:pPr>
              <w:spacing w:line="360" w:lineRule="auto"/>
              <w:ind w:firstLine="420" w:firstLineChars="200"/>
            </w:pPr>
            <w:r>
              <w:rPr>
                <w:rFonts w:hint="eastAsia"/>
              </w:rPr>
              <w:t>m）负责对不合格或潜在的不合格采取纠正或预防措施。</w:t>
            </w:r>
          </w:p>
          <w:p>
            <w:pPr>
              <w:spacing w:line="360" w:lineRule="auto"/>
              <w:ind w:firstLine="420" w:firstLineChars="200"/>
            </w:pPr>
            <w:r>
              <w:rPr>
                <w:rFonts w:hint="eastAsia"/>
              </w:rPr>
              <w:t>n)负责组织环境因素、危险源的识别和评价，编制环境因素和重要环境因素清单；危险源及重大危险源清单，组织有关部门编制环境管理方案； </w:t>
            </w:r>
          </w:p>
          <w:p>
            <w:r>
              <w:rPr>
                <w:rFonts w:hint="eastAsia"/>
              </w:rPr>
              <w:t>o)负责在本部门宣传、贯彻环境方针目标、有关的法律法规和其他要求，提出本部门的培训需求；</w:t>
            </w:r>
          </w:p>
        </w:tc>
        <w:tc>
          <w:tcPr>
            <w:tcW w:w="593"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80" w:lineRule="exact"/>
              <w:rPr>
                <w:rFonts w:ascii="宋体" w:hAnsi="宋体" w:cs="宋体"/>
                <w:szCs w:val="21"/>
              </w:rPr>
            </w:pPr>
            <w:r>
              <w:rPr>
                <w:rFonts w:hint="eastAsia" w:ascii="宋体" w:hAnsi="宋体" w:cs="宋体"/>
                <w:szCs w:val="21"/>
              </w:rPr>
              <w:t>工作人员的协商和参与</w:t>
            </w:r>
          </w:p>
        </w:tc>
        <w:tc>
          <w:tcPr>
            <w:tcW w:w="960" w:type="dxa"/>
          </w:tcPr>
          <w:p>
            <w:pPr>
              <w:spacing w:line="280" w:lineRule="exact"/>
              <w:rPr>
                <w:rFonts w:ascii="宋体" w:cs="宋体"/>
                <w:szCs w:val="21"/>
              </w:rPr>
            </w:pPr>
            <w:r>
              <w:rPr>
                <w:rFonts w:ascii="宋体" w:cs="宋体"/>
                <w:szCs w:val="21"/>
              </w:rPr>
              <w:t>O:5.4</w:t>
            </w:r>
          </w:p>
        </w:tc>
        <w:tc>
          <w:tcPr>
            <w:tcW w:w="10996" w:type="dxa"/>
            <w:vAlign w:val="center"/>
          </w:tcPr>
          <w:p>
            <w:pPr>
              <w:spacing w:line="360" w:lineRule="auto"/>
              <w:ind w:firstLine="420" w:firstLineChars="200"/>
              <w:rPr>
                <w:szCs w:val="22"/>
              </w:rPr>
            </w:pPr>
            <w:r>
              <w:rPr>
                <w:rFonts w:hint="eastAsia"/>
                <w:szCs w:val="22"/>
              </w:rPr>
              <w:t>建立信息交流控制程序</w:t>
            </w:r>
            <w:r>
              <w:rPr>
                <w:rFonts w:hint="eastAsia"/>
                <w:szCs w:val="22"/>
              </w:rPr>
              <w:tab/>
            </w:r>
            <w:r>
              <w:rPr>
                <w:rFonts w:hint="eastAsia"/>
                <w:szCs w:val="22"/>
              </w:rPr>
              <w:t>HYHD  -CX-7.4-13  公司经过选举推荐王彦芬女士为员工代表并全程参与职业健康安全体系运行工作。员工代表行使职责为：为协商和参与提供必要的机制、时间、培训和资源；及时提供对明确的、易理解的和相关的职业健康安全管理体系信息的访问渠道；确定和消除妨碍参与的障碍或壁垒，并尽可能减少那些难以消除的障碍或壁垒；如：未回应工作人员的意见和建议，语言或读写障碍，报复或威胁报复，以及不鼓励或惩罚工作人员参与的政策或惯例等。</w:t>
            </w:r>
          </w:p>
          <w:p>
            <w:pPr>
              <w:spacing w:line="360" w:lineRule="auto"/>
              <w:ind w:firstLine="420" w:firstLineChars="200"/>
              <w:rPr>
                <w:szCs w:val="22"/>
              </w:rPr>
            </w:pPr>
          </w:p>
        </w:tc>
        <w:tc>
          <w:tcPr>
            <w:tcW w:w="593"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E/O 6.1.1</w:t>
            </w:r>
          </w:p>
          <w:p>
            <w:pPr>
              <w:spacing w:line="280" w:lineRule="exact"/>
              <w:rPr>
                <w:rFonts w:ascii="宋体" w:hAnsi="宋体" w:cs="宋体"/>
                <w:szCs w:val="21"/>
              </w:rPr>
            </w:pPr>
          </w:p>
        </w:tc>
        <w:tc>
          <w:tcPr>
            <w:tcW w:w="10996" w:type="dxa"/>
            <w:vAlign w:val="center"/>
          </w:tcPr>
          <w:p>
            <w:pPr>
              <w:pStyle w:val="12"/>
            </w:pPr>
            <w:r>
              <w:rPr>
                <w:rFonts w:hint="eastAsia"/>
              </w:rPr>
              <w:t>对风险及机遇与环境因素、危险源的关系不清楚，认为环境因素及危险源即是风险，没有明确“风险和机遇应对措施”，仅将重要环境因素及危险源作为风险进行了管理并制定控制措施。</w:t>
            </w:r>
          </w:p>
          <w:p>
            <w:pPr>
              <w:pStyle w:val="12"/>
            </w:pPr>
            <w:r>
              <w:rPr>
                <w:rFonts w:hint="eastAsia"/>
              </w:rPr>
              <w:t>在策划环境、职业健康安全管理体系时，没有考虑4.1（所处的环境） 所提及的议题、4.2 （相关方）所提及的要求和4.3（职业健康安全管理体系范围），并确定所需应对的风险和机遇。如疫情导致的职业健康安全风险。</w:t>
            </w:r>
          </w:p>
        </w:tc>
        <w:tc>
          <w:tcPr>
            <w:tcW w:w="5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Theme="minorEastAsia" w:hAnsiTheme="minorEastAsia" w:eastAsiaTheme="minorEastAsia" w:cstheme="minorEastAsia"/>
                <w:szCs w:val="21"/>
              </w:rPr>
              <w:t>环境因素识别、危险源辨识及控制</w:t>
            </w:r>
          </w:p>
        </w:tc>
        <w:tc>
          <w:tcPr>
            <w:tcW w:w="960" w:type="dxa"/>
          </w:tcPr>
          <w:p>
            <w:pPr>
              <w:spacing w:line="280" w:lineRule="exact"/>
            </w:pPr>
            <w:r>
              <w:rPr>
                <w:rFonts w:hint="eastAsia"/>
              </w:rPr>
              <w:t>E</w:t>
            </w:r>
            <w:r>
              <w:t xml:space="preserve">/O </w:t>
            </w:r>
            <w:r>
              <w:rPr>
                <w:rFonts w:hint="eastAsia"/>
              </w:rPr>
              <w:t>6.1.2</w:t>
            </w:r>
          </w:p>
          <w:p>
            <w:pPr>
              <w:pStyle w:val="12"/>
            </w:pPr>
          </w:p>
        </w:tc>
        <w:tc>
          <w:tcPr>
            <w:tcW w:w="10996" w:type="dxa"/>
            <w:vAlign w:val="center"/>
          </w:tcPr>
          <w:p>
            <w:pPr>
              <w:spacing w:line="360" w:lineRule="auto"/>
              <w:ind w:firstLine="420" w:firstLineChars="200"/>
              <w:rPr>
                <w:szCs w:val="22"/>
              </w:rPr>
            </w:pPr>
            <w:r>
              <w:rPr>
                <w:rFonts w:hint="eastAsia" w:asciiTheme="minorEastAsia" w:hAnsiTheme="minorEastAsia" w:eastAsiaTheme="minorEastAsia" w:cstheme="minorEastAsia"/>
                <w:szCs w:val="21"/>
              </w:rPr>
              <w:t>查见《环</w:t>
            </w:r>
            <w:r>
              <w:rPr>
                <w:rFonts w:hint="eastAsia"/>
                <w:szCs w:val="22"/>
              </w:rPr>
              <w:t>境因素识别与评价控制程序</w:t>
            </w:r>
            <w:r>
              <w:rPr>
                <w:rFonts w:hint="eastAsia" w:asciiTheme="minorEastAsia" w:hAnsiTheme="minorEastAsia" w:eastAsiaTheme="minorEastAsia" w:cstheme="minorEastAsia"/>
                <w:szCs w:val="21"/>
              </w:rPr>
              <w:t>》</w:t>
            </w:r>
            <w:r>
              <w:rPr>
                <w:rFonts w:hint="eastAsia"/>
                <w:szCs w:val="22"/>
              </w:rPr>
              <w:t>，《危险源辨识与风险评价管理程序HYHD -CX-8.1-21》用以指导进行环境因素的识别、登记评价，以确定重要环境因素以及对环境因素的定期更新，环境因素的识别和确定考虑生命周期观点。</w:t>
            </w:r>
          </w:p>
          <w:p>
            <w:pPr>
              <w:spacing w:line="360" w:lineRule="auto"/>
              <w:ind w:firstLine="420" w:firstLineChars="200"/>
              <w:rPr>
                <w:szCs w:val="22"/>
              </w:rPr>
            </w:pPr>
            <w:r>
              <w:rPr>
                <w:rFonts w:hint="eastAsia"/>
                <w:szCs w:val="22"/>
              </w:rPr>
              <w:t>提供了《环境因素、危险源辨识和评价表》，无重大危险源及环境因素；中度风险为办公室火灾及触电。另外识别出对在办公活动中产生的纸张等消耗、固废排放、生活废水排放、下班后的交通事故、上班地面湿滑摔倒等环境因素及危险源，考虑到管理体系发生变更时可能产生的环境因素及危险源。如疫情产生的危险源及环境因素：废弃的口罩收集及处理，个人防护用品的发放等</w:t>
            </w:r>
          </w:p>
          <w:p>
            <w:pPr>
              <w:spacing w:line="360" w:lineRule="auto"/>
              <w:ind w:firstLine="420" w:firstLineChars="200"/>
              <w:rPr>
                <w:rFonts w:ascii="宋体" w:hAnsi="宋体" w:cs="宋体"/>
                <w:szCs w:val="21"/>
              </w:rPr>
            </w:pPr>
          </w:p>
        </w:tc>
        <w:tc>
          <w:tcPr>
            <w:tcW w:w="593"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szCs w:val="21"/>
              </w:rPr>
            </w:pPr>
            <w:r>
              <w:rPr>
                <w:rFonts w:hint="eastAsia"/>
                <w:szCs w:val="21"/>
              </w:rPr>
              <w:t>合规义务、法律法规</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w:t>
            </w:r>
            <w:r>
              <w:rPr>
                <w:szCs w:val="21"/>
              </w:rPr>
              <w:t xml:space="preserve">/O </w:t>
            </w:r>
            <w:r>
              <w:rPr>
                <w:rFonts w:hint="eastAsia"/>
                <w:szCs w:val="21"/>
              </w:rPr>
              <w:t>6.1.3</w:t>
            </w:r>
          </w:p>
          <w:p>
            <w:pPr>
              <w:spacing w:line="280" w:lineRule="exact"/>
              <w:rPr>
                <w:rFonts w:ascii="宋体" w:hAnsi="宋体" w:cs="宋体"/>
                <w:color w:val="FF0000"/>
                <w:szCs w:val="21"/>
              </w:rPr>
            </w:pPr>
          </w:p>
        </w:tc>
        <w:tc>
          <w:tcPr>
            <w:tcW w:w="10996" w:type="dxa"/>
          </w:tcPr>
          <w:p>
            <w:pPr>
              <w:spacing w:line="360" w:lineRule="auto"/>
              <w:ind w:firstLine="420" w:firstLineChars="200"/>
            </w:pPr>
            <w:r>
              <w:rPr>
                <w:rFonts w:hint="eastAsia"/>
                <w:szCs w:val="21"/>
              </w:rPr>
              <w:t>公司制定了</w:t>
            </w:r>
            <w:r>
              <w:rPr>
                <w:szCs w:val="21"/>
              </w:rPr>
              <w:t>HYHD -CX-9.1.2-19</w:t>
            </w:r>
            <w:r>
              <w:rPr>
                <w:rFonts w:hint="eastAsia"/>
                <w:szCs w:val="21"/>
              </w:rPr>
              <w:t xml:space="preserve"> 《合规性义务履行控制程序》《法律法规和其它要求控制程序》</w:t>
            </w:r>
            <w:r>
              <w:rPr>
                <w:szCs w:val="21"/>
              </w:rPr>
              <w:t>HYHD  -CX-6.1.3-12</w:t>
            </w:r>
            <w:r>
              <w:rPr>
                <w:rFonts w:hint="eastAsia"/>
                <w:szCs w:val="21"/>
              </w:rPr>
              <w:t>，公司法律法规和其它要求收集渠道有政府环保部门、安监部门、主管部门、国家网站等。法律法规和其它要求通过会议、培训等方式传达到相关方和公众，能够为其获取。</w:t>
            </w:r>
          </w:p>
          <w:p>
            <w:pPr>
              <w:spacing w:line="360" w:lineRule="auto"/>
              <w:ind w:firstLine="420" w:firstLineChars="200"/>
              <w:rPr>
                <w:szCs w:val="21"/>
              </w:rPr>
            </w:pPr>
            <w:r>
              <w:rPr>
                <w:rFonts w:hint="eastAsia"/>
                <w:szCs w:val="21"/>
              </w:rPr>
              <w:t>提供了《法律法规清单》，获取环境、职业健康安全法律法规6</w:t>
            </w:r>
            <w:r>
              <w:rPr>
                <w:szCs w:val="21"/>
              </w:rPr>
              <w:t>0</w:t>
            </w:r>
            <w:r>
              <w:rPr>
                <w:rFonts w:hint="eastAsia"/>
                <w:szCs w:val="21"/>
              </w:rPr>
              <w:t>项，结合公司的产品/服务、环境因素、危险源，确定法律法规要求的具体条款；法律法规的宣传方式：进行发放纸质文件、电子文件的形式；</w:t>
            </w:r>
          </w:p>
          <w:p>
            <w:pPr>
              <w:spacing w:line="360" w:lineRule="auto"/>
              <w:ind w:firstLine="420" w:firstLineChars="200"/>
              <w:rPr>
                <w:szCs w:val="21"/>
              </w:rPr>
            </w:pPr>
            <w:r>
              <w:rPr>
                <w:rFonts w:hint="eastAsia"/>
                <w:szCs w:val="21"/>
              </w:rPr>
              <w:t>法律法规要求及时更新：每年一次，必要时，适时增加更新次数。</w:t>
            </w:r>
          </w:p>
          <w:p>
            <w:pPr>
              <w:pStyle w:val="12"/>
            </w:pPr>
            <w:r>
              <w:rPr>
                <w:rFonts w:hint="eastAsia"/>
                <w:szCs w:val="21"/>
              </w:rPr>
              <w:t xml:space="preserve">   查见进行的合规性评价的法律法规如下：</w:t>
            </w:r>
          </w:p>
          <w:p>
            <w:pPr>
              <w:spacing w:line="360" w:lineRule="auto"/>
              <w:ind w:firstLine="420" w:firstLineChars="200"/>
              <w:rPr>
                <w:szCs w:val="21"/>
              </w:rPr>
            </w:pPr>
            <w:r>
              <w:rPr>
                <w:rFonts w:hint="eastAsia"/>
                <w:szCs w:val="21"/>
              </w:rPr>
              <w:t>管理体系规范及使用指南、环境保护法、大气污染防法、大气污染物综合排放标准、水污染防治法、固体废物污染环境防治法、环境噪声污染防治法、水法、安全生产法、节约能源法、消防法、污水综合排放标准、工业企业厂界噪声标准及测量方法、水污染防治法实施细则、GB8978污水综合排放标准、GB16297大气污染物综合排放标准、恶臭污染物排放标准、城市生活垃圾管理办法；中华人民共和国固体废物污染环境防治法；中华人民共和国节约能源法；中华人民共和国劳动合同法；中华人民共和国消防法等，评价结论均为符合。</w:t>
            </w:r>
          </w:p>
          <w:p>
            <w:pPr>
              <w:spacing w:line="360" w:lineRule="auto"/>
              <w:ind w:firstLine="630" w:firstLineChars="300"/>
              <w:rPr>
                <w:rFonts w:ascii="宋体" w:hAnsi="宋体"/>
                <w:color w:val="FF0000"/>
                <w:szCs w:val="21"/>
              </w:rPr>
            </w:pPr>
            <w:r>
              <w:rPr>
                <w:rFonts w:hint="eastAsia"/>
                <w:szCs w:val="21"/>
              </w:rPr>
              <w:t>基本</w:t>
            </w:r>
            <w:bookmarkStart w:id="0" w:name="_GoBack"/>
            <w:bookmarkEnd w:id="0"/>
            <w:r>
              <w:rPr>
                <w:rFonts w:hint="eastAsia"/>
                <w:szCs w:val="21"/>
              </w:rPr>
              <w:t>符合要求。</w:t>
            </w:r>
          </w:p>
        </w:tc>
        <w:tc>
          <w:tcPr>
            <w:tcW w:w="593"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目标及其实现的策划总要求</w:t>
            </w:r>
          </w:p>
          <w:p>
            <w:pPr>
              <w:spacing w:line="280" w:lineRule="exact"/>
              <w:rPr>
                <w:rFonts w:ascii="宋体" w:hAnsi="宋体" w:cs="宋体"/>
                <w:szCs w:val="21"/>
              </w:rPr>
            </w:pPr>
          </w:p>
        </w:tc>
        <w:tc>
          <w:tcPr>
            <w:tcW w:w="960" w:type="dxa"/>
          </w:tcPr>
          <w:p>
            <w:pPr>
              <w:spacing w:line="280" w:lineRule="exact"/>
              <w:rPr>
                <w:rFonts w:ascii="宋体" w:hAnsi="宋体" w:cs="宋体"/>
                <w:kern w:val="0"/>
                <w:szCs w:val="21"/>
              </w:rPr>
            </w:pPr>
            <w:r>
              <w:rPr>
                <w:rFonts w:hint="eastAsia" w:ascii="宋体" w:hAnsi="宋体" w:cs="宋体"/>
                <w:kern w:val="0"/>
                <w:szCs w:val="21"/>
              </w:rPr>
              <w:t>E</w:t>
            </w:r>
            <w:r>
              <w:rPr>
                <w:rFonts w:ascii="宋体" w:hAnsi="宋体" w:cs="宋体"/>
                <w:kern w:val="0"/>
                <w:szCs w:val="21"/>
              </w:rPr>
              <w:t xml:space="preserve">/O </w:t>
            </w:r>
            <w:r>
              <w:rPr>
                <w:rFonts w:hint="eastAsia" w:ascii="宋体" w:hAnsi="宋体" w:cs="宋体"/>
                <w:kern w:val="0"/>
                <w:szCs w:val="21"/>
              </w:rPr>
              <w:t>6.2</w:t>
            </w:r>
          </w:p>
          <w:p>
            <w:pPr>
              <w:spacing w:line="280" w:lineRule="exact"/>
              <w:rPr>
                <w:rFonts w:ascii="宋体" w:hAnsi="宋体" w:cs="宋体"/>
                <w:szCs w:val="21"/>
              </w:rPr>
            </w:pPr>
          </w:p>
        </w:tc>
        <w:tc>
          <w:tcPr>
            <w:tcW w:w="10996" w:type="dxa"/>
            <w:vAlign w:val="center"/>
          </w:tcPr>
          <w:p>
            <w:pPr>
              <w:ind w:firstLine="420" w:firstLineChars="200"/>
              <w:rPr>
                <w:szCs w:val="21"/>
              </w:rPr>
            </w:pPr>
            <w:r>
              <w:rPr>
                <w:rFonts w:hint="eastAsia"/>
                <w:szCs w:val="21"/>
              </w:rPr>
              <w:t>查到本部门分解环境、职业健康安全目标及达成情况：</w:t>
            </w:r>
          </w:p>
          <w:p>
            <w:pPr>
              <w:pStyle w:val="12"/>
              <w:spacing w:line="240" w:lineRule="auto"/>
              <w:rPr>
                <w:rFonts w:asciiTheme="minorEastAsia" w:hAnsiTheme="minorEastAsia" w:eastAsiaTheme="minorEastAsia" w:cstheme="minorEastAsia"/>
                <w:szCs w:val="21"/>
              </w:rPr>
            </w:pPr>
            <w:r>
              <w:rPr>
                <w:rFonts w:hint="eastAsia"/>
                <w:szCs w:val="21"/>
              </w:rPr>
              <w:t>项目/目标指标</w:t>
            </w:r>
            <w:r>
              <w:rPr>
                <w:rFonts w:hint="eastAsia"/>
                <w:szCs w:val="21"/>
              </w:rPr>
              <w:tab/>
            </w:r>
            <w:r>
              <w:rPr>
                <w:rFonts w:hint="eastAsia"/>
                <w:szCs w:val="21"/>
              </w:rPr>
              <w:t xml:space="preserve"> </w:t>
            </w:r>
            <w:r>
              <w:rPr>
                <w:rFonts w:hint="eastAsia" w:asciiTheme="minorEastAsia" w:hAnsiTheme="minorEastAsia" w:eastAsiaTheme="minorEastAsia" w:cstheme="minorEastAsia"/>
                <w:szCs w:val="21"/>
              </w:rPr>
              <w:t xml:space="preserve">                        考核方式</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考核结果</w:t>
            </w:r>
            <w:r>
              <w:rPr>
                <w:rFonts w:hint="eastAsia" w:asciiTheme="minorEastAsia" w:hAnsiTheme="minorEastAsia" w:eastAsiaTheme="minorEastAsia" w:cstheme="minorEastAsia"/>
                <w:szCs w:val="21"/>
              </w:rPr>
              <w:tab/>
            </w:r>
          </w:p>
          <w:p>
            <w:pPr>
              <w:pStyle w:val="12"/>
              <w:spacing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固体废弃物分类管理处置率</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100%</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危险废弃物（墨盒）危险废弃物（墨盒）</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100%</w:t>
            </w:r>
          </w:p>
          <w:p>
            <w:pPr>
              <w:pStyle w:val="12"/>
              <w:spacing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火灾、爆炸</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0</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查看火灾、爆炸发生记录                </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0</w:t>
            </w:r>
          </w:p>
          <w:p>
            <w:pPr>
              <w:pStyle w:val="12"/>
              <w:spacing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查看记录                                100%</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综上，目标均可量化可测量，综合部管理目标均已完成。 制定了相应管理方案，内容涉及：方法措施、执行部门、负责人、预算、完成日期等。抽查：火灾发生率为0。方法措施：定期检查电器设备，发现问题及时反馈，成立应急预案小组，对发生火灾及时处理，详见“火灾应急预案”；防止意外伤害，加强培训不断提高安全意识。执行部门：各部门、 完成日期：持续执行。</w:t>
            </w:r>
          </w:p>
          <w:p>
            <w:pPr>
              <w:ind w:firstLine="420" w:firstLineChars="200"/>
              <w:rPr>
                <w:rFonts w:ascii="宋体" w:hAnsi="宋体"/>
                <w:szCs w:val="21"/>
              </w:rPr>
            </w:pPr>
            <w:r>
              <w:rPr>
                <w:rFonts w:hint="eastAsia" w:asciiTheme="minorEastAsia" w:hAnsiTheme="minorEastAsia" w:eastAsiaTheme="minorEastAsia" w:cstheme="minorEastAsia"/>
                <w:szCs w:val="21"/>
              </w:rPr>
              <w:t>环境、职业健康安全管理方案已正常实施开展并经过监督检查，未发现异常。</w:t>
            </w:r>
          </w:p>
        </w:tc>
        <w:tc>
          <w:tcPr>
            <w:tcW w:w="593"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能力/意识/沟通</w:t>
            </w:r>
          </w:p>
          <w:p>
            <w:pPr>
              <w:spacing w:line="280" w:lineRule="exact"/>
              <w:rPr>
                <w:rFonts w:asciiTheme="minorEastAsia" w:hAnsiTheme="minorEastAsia" w:eastAsiaTheme="minorEastAsia" w:cstheme="minorEastAsia"/>
                <w:color w:val="000000"/>
                <w:kern w:val="0"/>
                <w:szCs w:val="21"/>
              </w:rPr>
            </w:pPr>
          </w:p>
          <w:p>
            <w:pPr>
              <w:spacing w:line="280" w:lineRule="exact"/>
              <w:rPr>
                <w:rFonts w:asciiTheme="minorEastAsia" w:hAnsiTheme="minorEastAsia" w:eastAsiaTheme="minorEastAsia" w:cstheme="minorEastAsia"/>
                <w:color w:val="000000"/>
                <w:kern w:val="0"/>
                <w:szCs w:val="21"/>
              </w:rPr>
            </w:pPr>
          </w:p>
          <w:p>
            <w:pPr>
              <w:spacing w:line="280" w:lineRule="exact"/>
              <w:rPr>
                <w:rFonts w:asciiTheme="minorEastAsia" w:hAnsiTheme="minorEastAsia" w:eastAsiaTheme="minorEastAsia" w:cstheme="minorEastAsia"/>
                <w:szCs w:val="21"/>
              </w:rPr>
            </w:pPr>
          </w:p>
        </w:tc>
        <w:tc>
          <w:tcPr>
            <w:tcW w:w="960" w:type="dxa"/>
          </w:tcPr>
          <w:p>
            <w:pPr>
              <w:spacing w:line="28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E</w:t>
            </w:r>
            <w:r>
              <w:rPr>
                <w:rFonts w:asciiTheme="minorEastAsia" w:hAnsiTheme="minorEastAsia" w:eastAsiaTheme="minorEastAsia" w:cstheme="minorEastAsia"/>
                <w:color w:val="000000"/>
                <w:kern w:val="0"/>
                <w:szCs w:val="21"/>
              </w:rPr>
              <w:t>/O</w:t>
            </w:r>
            <w:r>
              <w:rPr>
                <w:rFonts w:hint="eastAsia" w:asciiTheme="minorEastAsia" w:hAnsiTheme="minorEastAsia" w:eastAsiaTheme="minorEastAsia" w:cstheme="minorEastAsia"/>
                <w:color w:val="000000"/>
                <w:kern w:val="0"/>
                <w:szCs w:val="21"/>
              </w:rPr>
              <w:t xml:space="preserve"> 7.2</w:t>
            </w:r>
          </w:p>
          <w:p>
            <w:pPr>
              <w:spacing w:line="28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E</w:t>
            </w:r>
            <w:r>
              <w:rPr>
                <w:rFonts w:asciiTheme="minorEastAsia" w:hAnsiTheme="minorEastAsia" w:eastAsiaTheme="minorEastAsia" w:cstheme="minorEastAsia"/>
                <w:color w:val="000000"/>
                <w:kern w:val="0"/>
                <w:szCs w:val="21"/>
              </w:rPr>
              <w:t>/O</w:t>
            </w:r>
            <w:r>
              <w:rPr>
                <w:rFonts w:hint="eastAsia" w:asciiTheme="minorEastAsia" w:hAnsiTheme="minorEastAsia" w:eastAsiaTheme="minorEastAsia" w:cstheme="minorEastAsia"/>
                <w:color w:val="000000"/>
                <w:kern w:val="0"/>
                <w:szCs w:val="21"/>
              </w:rPr>
              <w:t xml:space="preserve"> 7.3</w:t>
            </w:r>
          </w:p>
          <w:p>
            <w:pPr>
              <w:spacing w:line="280" w:lineRule="exact"/>
              <w:rPr>
                <w:rFonts w:asciiTheme="minorEastAsia" w:hAnsiTheme="minorEastAsia" w:eastAsiaTheme="minorEastAsia" w:cstheme="minorEastAsia"/>
              </w:rPr>
            </w:pPr>
            <w:r>
              <w:rPr>
                <w:rFonts w:hint="eastAsia" w:asciiTheme="minorEastAsia" w:hAnsiTheme="minorEastAsia" w:eastAsiaTheme="minorEastAsia" w:cstheme="minorEastAsia"/>
                <w:color w:val="000000"/>
                <w:kern w:val="0"/>
                <w:szCs w:val="21"/>
              </w:rPr>
              <w:t>E</w:t>
            </w:r>
            <w:r>
              <w:rPr>
                <w:rFonts w:asciiTheme="minorEastAsia" w:hAnsiTheme="minorEastAsia" w:eastAsiaTheme="minorEastAsia" w:cstheme="minorEastAsia"/>
                <w:color w:val="000000"/>
                <w:kern w:val="0"/>
                <w:szCs w:val="21"/>
              </w:rPr>
              <w:t>/O</w:t>
            </w:r>
            <w:r>
              <w:rPr>
                <w:rFonts w:hint="eastAsia" w:asciiTheme="minorEastAsia" w:hAnsiTheme="minorEastAsia" w:eastAsiaTheme="minorEastAsia" w:cstheme="minorEastAsia"/>
                <w:color w:val="000000"/>
                <w:kern w:val="0"/>
                <w:szCs w:val="21"/>
              </w:rPr>
              <w:t xml:space="preserve"> 7.4</w:t>
            </w:r>
          </w:p>
          <w:p>
            <w:pPr>
              <w:spacing w:line="280" w:lineRule="exact"/>
              <w:rPr>
                <w:rFonts w:asciiTheme="minorEastAsia" w:hAnsiTheme="minorEastAsia" w:eastAsiaTheme="minorEastAsia" w:cstheme="minorEastAsia"/>
                <w:szCs w:val="21"/>
              </w:rPr>
            </w:pPr>
          </w:p>
        </w:tc>
        <w:tc>
          <w:tcPr>
            <w:tcW w:w="10996" w:type="dxa"/>
            <w:vAlign w:val="center"/>
          </w:tcPr>
          <w:p>
            <w:pPr>
              <w:numPr>
                <w:ilvl w:val="0"/>
                <w:numId w:val="1"/>
              </w:numPr>
              <w:spacing w:after="160"/>
            </w:pPr>
            <w:r>
              <w:rPr>
                <w:rFonts w:hint="eastAsia"/>
              </w:rPr>
              <w:t>公司通过学习、宣传等方法使在组织控制范围内的相关工作人员知道环境、职业健康方针；相关的质量、环境、职业健康安全目标；员工对管理体系有效性的贡献，包括改进职业健康、环境绩效的益处；不符管理体系要求的后果。</w:t>
            </w:r>
          </w:p>
          <w:p>
            <w:pPr>
              <w:pStyle w:val="12"/>
              <w:numPr>
                <w:ilvl w:val="0"/>
                <w:numId w:val="1"/>
              </w:numPr>
              <w:spacing w:line="240" w:lineRule="auto"/>
            </w:pPr>
            <w:r>
              <w:rPr>
                <w:rFonts w:hint="eastAsia"/>
              </w:rPr>
              <w:t>询问刘辉，知道公司方针，知道所在的工作岗位的环境目标，也了解自己的工作好坏会影响组织环境管理体系的有效运行。</w:t>
            </w:r>
          </w:p>
          <w:p>
            <w:pPr>
              <w:ind w:firstLine="420" w:firstLineChars="200"/>
            </w:pPr>
            <w:r>
              <w:rPr>
                <w:rFonts w:hint="eastAsia"/>
              </w:rPr>
              <w:t>公司确定了管理体系相关的内部和外部沟通，包括：沟通什么；何时沟通；与谁沟通；如何沟通；由谁负责，内外部沟通具体体现在公司内部工作会议、质量、职业健康、环境会议、员工的培训、公司宣传栏等，与外部的沟通具体体现在合同签订、满意度调查。与环保部门、安监局及顾客和供方等方面。</w:t>
            </w:r>
          </w:p>
          <w:p>
            <w:pPr>
              <w:ind w:firstLine="420" w:firstLineChars="200"/>
            </w:pPr>
            <w:r>
              <w:rPr>
                <w:rFonts w:hint="eastAsia"/>
              </w:rPr>
              <w:t>现场查阅内部交流：方针、目标完成情况、内审和管理评审报告、不符合信息等。</w:t>
            </w:r>
          </w:p>
          <w:p>
            <w:pPr>
              <w:ind w:firstLine="420" w:firstLineChars="200"/>
            </w:pPr>
            <w:r>
              <w:rPr>
                <w:rFonts w:hint="eastAsia"/>
              </w:rPr>
              <w:t>外部交流：通过发放《关于对相关方要求的告知书》与相关方就相关质量、环境信息进行相互沟通。</w:t>
            </w:r>
          </w:p>
          <w:p>
            <w:r>
              <w:rPr>
                <w:rFonts w:hint="eastAsia"/>
                <w:lang w:val="en-US" w:eastAsia="zh-CN"/>
              </w:rPr>
              <w:t>3、</w:t>
            </w:r>
            <w:r>
              <w:rPr>
                <w:rFonts w:hint="eastAsia"/>
              </w:rPr>
              <w:t>抽查关键岗位赵忠明-总经理、申国昌-管理代表、刘辉-综合部的岗位能力评定表，分别从年龄、教育程度、经验、经历、技能要求等方面进行了评定，最终确认结果：满足要求。</w:t>
            </w:r>
          </w:p>
          <w:p>
            <w:pPr>
              <w:ind w:firstLine="420" w:firstLineChars="200"/>
            </w:pPr>
            <w:r>
              <w:rPr>
                <w:rFonts w:hint="eastAsia"/>
              </w:rPr>
              <w:t>总体评价：符合上岗要求，准予上岗。</w:t>
            </w:r>
          </w:p>
          <w:p>
            <w:pPr>
              <w:pStyle w:val="12"/>
            </w:pPr>
            <w:r>
              <w:rPr>
                <w:rFonts w:hint="eastAsia"/>
              </w:rPr>
              <w:t>人员能力、意识控制程序</w:t>
            </w:r>
            <w:r>
              <w:tab/>
            </w:r>
            <w:r>
              <w:t>HYHD  -CX-7.2-03</w:t>
            </w:r>
            <w:r>
              <w:rPr>
                <w:rFonts w:hint="eastAsia"/>
              </w:rPr>
              <w:t>规定：</w:t>
            </w:r>
          </w:p>
          <w:p>
            <w:pPr>
              <w:pStyle w:val="12"/>
            </w:pPr>
            <w:r>
              <w:rPr>
                <w:rFonts w:hint="eastAsia"/>
              </w:rPr>
              <w:t>综合部：</w:t>
            </w:r>
          </w:p>
          <w:p>
            <w:pPr>
              <w:pStyle w:val="12"/>
            </w:pPr>
            <w:r>
              <w:rPr>
                <w:rFonts w:hint="eastAsia"/>
              </w:rPr>
              <w:t>3.1.1负责编制各岗位职责要求。</w:t>
            </w:r>
          </w:p>
          <w:p>
            <w:pPr>
              <w:pStyle w:val="12"/>
            </w:pPr>
            <w:r>
              <w:rPr>
                <w:rFonts w:hint="eastAsia"/>
              </w:rPr>
              <w:t>3.1.2负责编制年度培训计划并组织监督实施。</w:t>
            </w:r>
          </w:p>
          <w:p>
            <w:pPr>
              <w:pStyle w:val="12"/>
            </w:pPr>
            <w:r>
              <w:rPr>
                <w:rFonts w:hint="eastAsia"/>
              </w:rPr>
              <w:t>3.1.3负责对培训效果进行评估。</w:t>
            </w:r>
          </w:p>
          <w:p>
            <w:pPr>
              <w:pStyle w:val="12"/>
            </w:pPr>
            <w:r>
              <w:rPr>
                <w:rFonts w:hint="eastAsia"/>
              </w:rPr>
              <w:t>3.2 各部门负责本部门员工的岗位技能培训。</w:t>
            </w:r>
          </w:p>
          <w:p>
            <w:pPr>
              <w:pStyle w:val="12"/>
            </w:pPr>
            <w:r>
              <w:rPr>
                <w:rFonts w:hint="eastAsia"/>
              </w:rPr>
              <w:t>3.3总经理负责批准公司年度培训计划。</w:t>
            </w:r>
          </w:p>
          <w:p>
            <w:pPr>
              <w:pStyle w:val="12"/>
              <w:rPr>
                <w:rFonts w:hint="eastAsia"/>
              </w:rPr>
            </w:pPr>
            <w:r>
              <w:rPr>
                <w:rFonts w:hint="eastAsia"/>
              </w:rPr>
              <w:t>提供人员能力评价表，抽查李宏静的评价纪录，评价内容有教育程度、工作经验、岗位技能等，合格。</w:t>
            </w:r>
          </w:p>
          <w:p>
            <w:pPr>
              <w:pStyle w:val="12"/>
            </w:pPr>
            <w:r>
              <w:rPr>
                <w:rFonts w:hint="eastAsia"/>
              </w:rPr>
              <w:t>抽查20</w:t>
            </w:r>
            <w:r>
              <w:t>20</w:t>
            </w:r>
            <w:r>
              <w:rPr>
                <w:rFonts w:hint="eastAsia"/>
              </w:rPr>
              <w:t>年培训计划：能提供，培训计划共计8项，抽查2020.3.20关于QES的培训记录，能够提供，有效果评价表。评价结果：合格有效。</w:t>
            </w:r>
          </w:p>
          <w:p>
            <w:pPr>
              <w:pStyle w:val="12"/>
            </w:pPr>
            <w:r>
              <w:rPr>
                <w:rFonts w:hint="eastAsia"/>
              </w:rPr>
              <w:t>公司没有特殊工种。</w:t>
            </w:r>
          </w:p>
        </w:tc>
        <w:tc>
          <w:tcPr>
            <w:tcW w:w="593"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成文信息</w:t>
            </w:r>
          </w:p>
          <w:p>
            <w:pPr>
              <w:spacing w:line="280" w:lineRule="exact"/>
              <w:rPr>
                <w:rFonts w:ascii="宋体" w:hAnsi="宋体" w:cs="宋体"/>
                <w:szCs w:val="21"/>
              </w:rPr>
            </w:pPr>
          </w:p>
        </w:tc>
        <w:tc>
          <w:tcPr>
            <w:tcW w:w="960" w:type="dxa"/>
          </w:tcPr>
          <w:p>
            <w:pPr>
              <w:spacing w:line="280" w:lineRule="exact"/>
              <w:rPr>
                <w:rFonts w:ascii="宋体" w:hAnsi="宋体" w:cs="宋体"/>
                <w:color w:val="000000"/>
                <w:kern w:val="0"/>
                <w:szCs w:val="21"/>
              </w:rPr>
            </w:pPr>
            <w:r>
              <w:rPr>
                <w:rFonts w:ascii="宋体" w:hAnsi="宋体" w:cs="宋体"/>
                <w:color w:val="000000"/>
                <w:kern w:val="0"/>
                <w:szCs w:val="21"/>
              </w:rPr>
              <w:t xml:space="preserve">E/O </w:t>
            </w:r>
            <w:r>
              <w:rPr>
                <w:rFonts w:hint="eastAsia" w:ascii="宋体" w:hAnsi="宋体" w:cs="宋体"/>
                <w:color w:val="000000"/>
                <w:kern w:val="0"/>
                <w:szCs w:val="21"/>
              </w:rPr>
              <w:t>7.5</w:t>
            </w:r>
          </w:p>
          <w:p>
            <w:pPr>
              <w:spacing w:line="280" w:lineRule="exact"/>
              <w:rPr>
                <w:rFonts w:ascii="宋体" w:hAnsi="宋体" w:cs="宋体"/>
                <w:szCs w:val="21"/>
              </w:rPr>
            </w:pPr>
          </w:p>
        </w:tc>
        <w:tc>
          <w:tcPr>
            <w:tcW w:w="10996" w:type="dxa"/>
            <w:vAlign w:val="center"/>
          </w:tcPr>
          <w:p>
            <w:pPr>
              <w:ind w:firstLine="422" w:firstLineChars="200"/>
              <w:rPr>
                <w:szCs w:val="21"/>
              </w:rPr>
            </w:pPr>
            <w:r>
              <w:rPr>
                <w:rFonts w:hint="eastAsia" w:asciiTheme="minorEastAsia" w:hAnsiTheme="minorEastAsia" w:eastAsiaTheme="minorEastAsia" w:cstheme="minorEastAsia"/>
                <w:b/>
                <w:bCs/>
                <w:szCs w:val="21"/>
              </w:rPr>
              <w:t>查见管理手册、程序文件等文件，编制-综合部、审核-申国昌、批准-赵忠明、20</w:t>
            </w:r>
            <w:r>
              <w:rPr>
                <w:rFonts w:asciiTheme="minorEastAsia" w:hAnsiTheme="minorEastAsia" w:eastAsiaTheme="minorEastAsia" w:cstheme="minorEastAsia"/>
                <w:b/>
                <w:bCs/>
                <w:szCs w:val="21"/>
              </w:rPr>
              <w:t>20</w:t>
            </w:r>
            <w:r>
              <w:rPr>
                <w:rFonts w:hint="eastAsia" w:asciiTheme="minorEastAsia" w:hAnsiTheme="minorEastAsia" w:eastAsiaTheme="minorEastAsia" w:cstheme="minorEastAsia"/>
                <w:b/>
                <w:bCs/>
                <w:szCs w:val="21"/>
              </w:rPr>
              <w:t>.</w:t>
            </w:r>
            <w:r>
              <w:rPr>
                <w:rFonts w:asciiTheme="minorEastAsia" w:hAnsiTheme="minorEastAsia" w:eastAsiaTheme="minorEastAsia" w:cstheme="minorEastAsia"/>
                <w:b/>
                <w:bCs/>
                <w:szCs w:val="21"/>
              </w:rPr>
              <w:t>03</w:t>
            </w:r>
            <w:r>
              <w:rPr>
                <w:rFonts w:hint="eastAsia" w:asciiTheme="minorEastAsia" w:hAnsiTheme="minorEastAsia" w:eastAsiaTheme="minorEastAsia" w:cstheme="minorEastAsia"/>
                <w:b/>
                <w:bCs/>
                <w:szCs w:val="21"/>
              </w:rPr>
              <w:t>.1</w:t>
            </w:r>
            <w:r>
              <w:rPr>
                <w:rFonts w:asciiTheme="minorEastAsia" w:hAnsiTheme="minorEastAsia" w:eastAsiaTheme="minorEastAsia" w:cstheme="minorEastAsia"/>
                <w:b/>
                <w:bCs/>
                <w:szCs w:val="21"/>
              </w:rPr>
              <w:t>0</w:t>
            </w:r>
            <w:r>
              <w:rPr>
                <w:rFonts w:hint="eastAsia" w:asciiTheme="minorEastAsia" w:hAnsiTheme="minorEastAsia" w:eastAsiaTheme="minorEastAsia" w:cstheme="minorEastAsia"/>
                <w:b/>
                <w:bCs/>
                <w:szCs w:val="21"/>
              </w:rPr>
              <w:t>发布并实施。</w:t>
            </w:r>
            <w:r>
              <w:rPr>
                <w:rFonts w:hint="eastAsia"/>
                <w:szCs w:val="21"/>
              </w:rPr>
              <w:t>查文件编审批手续齐全、文件清晰、编号符合文件控制程序要求。查行政部文件，都有受控标识，有效版本。</w:t>
            </w:r>
          </w:p>
          <w:p>
            <w:pPr>
              <w:ind w:firstLine="420" w:firstLineChars="200"/>
              <w:rPr>
                <w:szCs w:val="21"/>
              </w:rPr>
            </w:pPr>
            <w:r>
              <w:rPr>
                <w:rFonts w:hint="eastAsia"/>
                <w:szCs w:val="21"/>
              </w:rPr>
              <w:t>公司的管理手册及相关体系文件系统的描述了公司整个管理体系，内容包括：管理体系覆盖的生产、销售服务过程的部门和场所等。描述了管理体系中各个过程的相互作用关系。公司对整个体系进行了策划。形成了文件化的管理手册、程序文件、三级管理文件以及所要求的记录。</w:t>
            </w:r>
          </w:p>
          <w:p>
            <w:pPr>
              <w:ind w:firstLine="420" w:firstLineChars="200"/>
              <w:rPr>
                <w:szCs w:val="21"/>
              </w:rPr>
            </w:pPr>
            <w:r>
              <w:rPr>
                <w:rFonts w:hint="eastAsia"/>
                <w:szCs w:val="21"/>
              </w:rPr>
              <w:t>公司编制的程序文件符合标准要求的所有程序文件，第三层次文件对体系及其相互关系在手册中做了描述，记录表单满足公司目前的质量体系运行的需要。</w:t>
            </w:r>
          </w:p>
          <w:p>
            <w:pPr>
              <w:ind w:firstLine="420" w:firstLineChars="200"/>
              <w:rPr>
                <w:szCs w:val="21"/>
              </w:rPr>
            </w:pPr>
            <w:r>
              <w:rPr>
                <w:rFonts w:hint="eastAsia"/>
                <w:szCs w:val="21"/>
              </w:rPr>
              <w:t>公司文件分类：一级文件：管理手册。</w:t>
            </w:r>
          </w:p>
          <w:p>
            <w:pPr>
              <w:ind w:firstLine="420" w:firstLineChars="200"/>
              <w:rPr>
                <w:szCs w:val="21"/>
              </w:rPr>
            </w:pPr>
            <w:r>
              <w:rPr>
                <w:rFonts w:hint="eastAsia"/>
                <w:szCs w:val="21"/>
              </w:rPr>
              <w:t>二级文件：公司编制了程序文件，包括环境标准要求的所有程序。</w:t>
            </w:r>
          </w:p>
          <w:p>
            <w:pPr>
              <w:ind w:firstLine="420" w:firstLineChars="200"/>
              <w:rPr>
                <w:szCs w:val="21"/>
              </w:rPr>
            </w:pPr>
            <w:r>
              <w:rPr>
                <w:rFonts w:hint="eastAsia"/>
                <w:szCs w:val="21"/>
              </w:rPr>
              <w:t>三层次文件：制度和作业指导书，外来文件：包括产品国家标准，环境及运行记录，满足公司目前的管理体系运行的需要。体系文件基本能保证有效性和效率的要求。</w:t>
            </w:r>
          </w:p>
          <w:p>
            <w:pPr>
              <w:ind w:firstLine="420" w:firstLineChars="200"/>
              <w:rPr>
                <w:szCs w:val="21"/>
              </w:rPr>
            </w:pPr>
            <w:r>
              <w:rPr>
                <w:rFonts w:hint="eastAsia"/>
                <w:szCs w:val="21"/>
              </w:rPr>
              <w:t>查公司按照文审要求对管理手册进行了修改，符合要求。</w:t>
            </w:r>
          </w:p>
          <w:p>
            <w:pPr>
              <w:ind w:firstLine="420" w:firstLineChars="200"/>
              <w:rPr>
                <w:szCs w:val="21"/>
              </w:rPr>
            </w:pPr>
            <w:r>
              <w:rPr>
                <w:rFonts w:hint="eastAsia"/>
                <w:szCs w:val="21"/>
              </w:rPr>
              <w:t>公司编制并实施了《文件管理程序》，文件包括：手册、体系程序文件及管理制度等。</w:t>
            </w:r>
          </w:p>
          <w:p>
            <w:pPr>
              <w:snapToGrid w:val="0"/>
              <w:ind w:firstLine="420" w:firstLineChars="200"/>
              <w:rPr>
                <w:szCs w:val="21"/>
              </w:rPr>
            </w:pPr>
            <w:r>
              <w:rPr>
                <w:rFonts w:hint="eastAsia"/>
                <w:szCs w:val="21"/>
              </w:rPr>
              <w:t>无企业标准。</w:t>
            </w:r>
          </w:p>
          <w:p>
            <w:pPr>
              <w:ind w:firstLine="420" w:firstLineChars="200"/>
              <w:rPr>
                <w:rFonts w:hint="eastAsia"/>
                <w:szCs w:val="21"/>
              </w:rPr>
            </w:pPr>
            <w:r>
              <w:rPr>
                <w:rFonts w:hint="eastAsia"/>
                <w:szCs w:val="21"/>
              </w:rPr>
              <w:t>查外来文件：与产品要求和环境管理体系运行有关的国家法律法规、标准等；行业、地方颁布的条例、标准、规范、规程、办法等，查外来文件具体有产品国家标准、环境管理体系标准、职业健康安全管理体系标准等。</w:t>
            </w:r>
          </w:p>
          <w:p>
            <w:pPr>
              <w:rPr>
                <w:rFonts w:hint="eastAsia"/>
                <w:szCs w:val="21"/>
              </w:rPr>
            </w:pPr>
            <w:r>
              <w:rPr>
                <w:rFonts w:hint="eastAsia" w:ascii="宋体" w:hAnsi="宋体" w:eastAsia="宋体" w:cs="Times New Roman"/>
                <w:b/>
                <w:bCs w:val="0"/>
                <w:color w:val="FF0000"/>
                <w:sz w:val="21"/>
                <w:szCs w:val="21"/>
                <w:lang w:eastAsia="zh-CN"/>
              </w:rPr>
              <w:t>未识别</w:t>
            </w:r>
            <w:r>
              <w:rPr>
                <w:rFonts w:ascii="宋体" w:hAnsi="宋体" w:eastAsia="宋体" w:cs="Times New Roman"/>
                <w:b/>
                <w:bCs w:val="0"/>
                <w:color w:val="FF0000"/>
                <w:sz w:val="21"/>
                <w:szCs w:val="21"/>
              </w:rPr>
              <w:t>照相器材、摄像器材</w:t>
            </w:r>
            <w:r>
              <w:rPr>
                <w:rFonts w:hint="eastAsia" w:ascii="宋体" w:hAnsi="宋体" w:eastAsia="宋体" w:cs="Times New Roman"/>
                <w:b/>
                <w:bCs w:val="0"/>
                <w:color w:val="FF0000"/>
                <w:sz w:val="21"/>
                <w:szCs w:val="21"/>
                <w:lang w:eastAsia="zh-CN"/>
              </w:rPr>
              <w:t>等主要</w:t>
            </w:r>
            <w:r>
              <w:rPr>
                <w:rFonts w:hint="eastAsia" w:ascii="宋体" w:hAnsi="宋体" w:eastAsia="宋体" w:cs="Times New Roman"/>
                <w:b/>
                <w:bCs w:val="0"/>
                <w:color w:val="FF0000"/>
                <w:sz w:val="21"/>
                <w:szCs w:val="21"/>
              </w:rPr>
              <w:t>执行标准</w:t>
            </w:r>
            <w:r>
              <w:rPr>
                <w:rFonts w:hint="eastAsia" w:ascii="宋体" w:hAnsi="宋体" w:eastAsia="宋体" w:cs="Times New Roman"/>
                <w:b/>
                <w:bCs w:val="0"/>
                <w:color w:val="FF0000"/>
                <w:sz w:val="21"/>
                <w:szCs w:val="21"/>
                <w:lang w:eastAsia="zh-CN"/>
              </w:rPr>
              <w:t>。</w:t>
            </w:r>
            <w:r>
              <w:rPr>
                <w:rFonts w:hint="eastAsia" w:ascii="宋体" w:hAnsi="宋体" w:cs="Times New Roman"/>
                <w:b/>
                <w:bCs w:val="0"/>
                <w:color w:val="FF0000"/>
                <w:sz w:val="21"/>
                <w:szCs w:val="21"/>
                <w:lang w:val="en-US" w:eastAsia="zh-CN"/>
              </w:rPr>
              <w:t>N</w:t>
            </w:r>
          </w:p>
          <w:p>
            <w:pPr>
              <w:ind w:firstLine="420" w:firstLineChars="200"/>
              <w:rPr>
                <w:szCs w:val="21"/>
              </w:rPr>
            </w:pPr>
            <w:r>
              <w:rPr>
                <w:rFonts w:hint="eastAsia"/>
                <w:szCs w:val="21"/>
              </w:rPr>
              <w:t>查文件发放：行政部20</w:t>
            </w:r>
            <w:r>
              <w:rPr>
                <w:szCs w:val="21"/>
              </w:rPr>
              <w:t>20</w:t>
            </w:r>
            <w:r>
              <w:rPr>
                <w:rFonts w:hint="eastAsia"/>
                <w:szCs w:val="21"/>
              </w:rPr>
              <w:t>.</w:t>
            </w:r>
            <w:r>
              <w:rPr>
                <w:szCs w:val="21"/>
              </w:rPr>
              <w:t>03</w:t>
            </w:r>
            <w:r>
              <w:rPr>
                <w:rFonts w:hint="eastAsia"/>
                <w:szCs w:val="21"/>
              </w:rPr>
              <w:t>.1</w:t>
            </w:r>
            <w:r>
              <w:rPr>
                <w:szCs w:val="21"/>
              </w:rPr>
              <w:t>0</w:t>
            </w:r>
            <w:r>
              <w:rPr>
                <w:rFonts w:hint="eastAsia"/>
                <w:szCs w:val="21"/>
              </w:rPr>
              <w:t>下发了Q</w:t>
            </w:r>
            <w:r>
              <w:rPr>
                <w:szCs w:val="21"/>
              </w:rPr>
              <w:t>EO</w:t>
            </w:r>
            <w:r>
              <w:rPr>
                <w:rFonts w:hint="eastAsia"/>
                <w:szCs w:val="21"/>
              </w:rPr>
              <w:t>管理手册、程序文件等文件。</w:t>
            </w:r>
          </w:p>
          <w:p>
            <w:pPr>
              <w:ind w:firstLine="420" w:firstLineChars="200"/>
              <w:rPr>
                <w:szCs w:val="21"/>
              </w:rPr>
            </w:pPr>
            <w:r>
              <w:rPr>
                <w:rFonts w:hint="eastAsia"/>
                <w:szCs w:val="21"/>
              </w:rPr>
              <w:t>查行政部文件有标识，检索方便，文件夹存放于文件柜内，防护符合要求。</w:t>
            </w:r>
          </w:p>
          <w:p>
            <w:pPr>
              <w:ind w:firstLine="420" w:firstLineChars="200"/>
              <w:rPr>
                <w:szCs w:val="21"/>
              </w:rPr>
            </w:pPr>
            <w:r>
              <w:rPr>
                <w:rFonts w:hint="eastAsia"/>
                <w:szCs w:val="21"/>
              </w:rPr>
              <w:t>公司按《记录管理程序》实施对管理体系记录的标识、贮存、保护、检索、保存期限和处置等按规定实施。</w:t>
            </w:r>
          </w:p>
          <w:p>
            <w:pPr>
              <w:ind w:firstLine="420" w:firstLineChars="200"/>
              <w:rPr>
                <w:szCs w:val="21"/>
              </w:rPr>
            </w:pPr>
            <w:r>
              <w:rPr>
                <w:rFonts w:hint="eastAsia"/>
                <w:szCs w:val="21"/>
              </w:rPr>
              <w:t>公司提供《记录清单》—有内审报告、供方评价表、危险源清单、环境因素清单、管理评审报告等记录。明确了记录名称、编号、使用保存部门、保存期限等，并经审核后使用。</w:t>
            </w:r>
          </w:p>
          <w:p>
            <w:pPr>
              <w:ind w:firstLine="420" w:firstLineChars="200"/>
              <w:rPr>
                <w:szCs w:val="21"/>
              </w:rPr>
            </w:pPr>
            <w:r>
              <w:rPr>
                <w:rFonts w:hint="eastAsia"/>
                <w:szCs w:val="21"/>
              </w:rPr>
              <w:t>公司各种记录由各使用部门保存，查阅行政部保存的记录环境情况，归档文件、记录存放于通风、干燥的文件柜内，环境干燥、通风，符合文件归档的要求。</w:t>
            </w:r>
          </w:p>
          <w:p>
            <w:pPr>
              <w:ind w:firstLine="420" w:firstLineChars="200"/>
              <w:rPr>
                <w:szCs w:val="21"/>
              </w:rPr>
            </w:pPr>
            <w:r>
              <w:rPr>
                <w:rFonts w:hint="eastAsia"/>
                <w:szCs w:val="21"/>
              </w:rPr>
              <w:t>抽查归档文件整理情况，行政部已将文件进行了分类，按记录的名称、编号及时间装文件袋进行归档，记录清洁，字迹清晰，检索方便，抽查有内部审核资料、管理评审资料等，均已装订成册。</w:t>
            </w:r>
          </w:p>
          <w:p>
            <w:pPr>
              <w:ind w:firstLine="420" w:firstLineChars="200"/>
              <w:rPr>
                <w:szCs w:val="21"/>
              </w:rPr>
            </w:pPr>
            <w:r>
              <w:rPr>
                <w:rFonts w:hint="eastAsia"/>
                <w:szCs w:val="21"/>
              </w:rPr>
              <w:t>原件记录原则上不外借，其它记录查阅须有关部门同意后，方可查阅。</w:t>
            </w:r>
          </w:p>
          <w:p>
            <w:pPr>
              <w:ind w:firstLine="420" w:firstLineChars="200"/>
              <w:rPr>
                <w:rFonts w:ascii="宋体" w:hAnsi="宋体"/>
                <w:szCs w:val="21"/>
              </w:rPr>
            </w:pPr>
            <w:r>
              <w:rPr>
                <w:rFonts w:hint="eastAsia"/>
                <w:szCs w:val="21"/>
              </w:rPr>
              <w:t>提供了作废文件记录：有作废理由、作废日期及申请部门、审核人签字。记录控制基本有效。</w:t>
            </w:r>
          </w:p>
        </w:tc>
        <w:tc>
          <w:tcPr>
            <w:tcW w:w="593" w:type="dxa"/>
          </w:tcPr>
          <w:p/>
          <w:p/>
          <w:p/>
          <w:p/>
          <w:p/>
          <w:p/>
          <w:p/>
          <w:p/>
          <w:p/>
          <w:p/>
          <w:p/>
          <w:p/>
          <w:p/>
          <w:p/>
          <w:p/>
          <w:p/>
          <w:p>
            <w:pPr>
              <w:rPr>
                <w:rFonts w:hint="eastAsia" w:eastAsia="宋体"/>
                <w:lang w:val="en-US" w:eastAsia="zh-CN"/>
              </w:rPr>
            </w:pPr>
            <w:r>
              <w:rPr>
                <w:rFonts w:hint="eastAsia"/>
                <w:color w:val="FF000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szCs w:val="21"/>
              </w:rPr>
            </w:pPr>
            <w:r>
              <w:rPr>
                <w:rFonts w:hint="eastAsia"/>
                <w:szCs w:val="21"/>
              </w:rPr>
              <w:t>运行策划和控制</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w:t>
            </w:r>
            <w:r>
              <w:rPr>
                <w:szCs w:val="21"/>
              </w:rPr>
              <w:t>8.1</w:t>
            </w:r>
          </w:p>
          <w:p>
            <w:pPr>
              <w:spacing w:line="280" w:lineRule="exact"/>
              <w:rPr>
                <w:szCs w:val="21"/>
              </w:rPr>
            </w:pPr>
            <w:r>
              <w:rPr>
                <w:szCs w:val="21"/>
              </w:rPr>
              <w:t>O:8.1.2</w:t>
            </w:r>
            <w:r>
              <w:rPr>
                <w:rFonts w:hint="eastAsia"/>
                <w:szCs w:val="21"/>
              </w:rPr>
              <w:t>、8</w:t>
            </w:r>
            <w:r>
              <w:rPr>
                <w:szCs w:val="21"/>
              </w:rPr>
              <w:t>.1.3</w:t>
            </w:r>
          </w:p>
          <w:p>
            <w:pPr>
              <w:spacing w:line="280" w:lineRule="exact"/>
              <w:rPr>
                <w:rFonts w:ascii="宋体" w:hAnsi="宋体" w:cs="宋体"/>
                <w:szCs w:val="21"/>
              </w:rPr>
            </w:pPr>
          </w:p>
        </w:tc>
        <w:tc>
          <w:tcPr>
            <w:tcW w:w="10996" w:type="dxa"/>
            <w:vAlign w:val="center"/>
          </w:tcPr>
          <w:p>
            <w:pPr>
              <w:spacing w:line="360" w:lineRule="auto"/>
              <w:ind w:firstLine="421"/>
            </w:pPr>
            <w:r>
              <w:rPr>
                <w:rFonts w:hint="eastAsia"/>
              </w:rPr>
              <w:t>查见与体系运行控制有关的文件有： 《环境运行控制程序》，综合部管控内容包括：</w:t>
            </w:r>
          </w:p>
          <w:p>
            <w:pPr>
              <w:spacing w:line="360" w:lineRule="auto"/>
              <w:ind w:firstLine="421"/>
            </w:pPr>
            <w:r>
              <w:rPr>
                <w:rFonts w:hint="eastAsia"/>
              </w:rPr>
              <w:t>1、废水管控，办公现场生活废水排放，直接排入办公楼生活污水管道。</w:t>
            </w:r>
          </w:p>
          <w:p>
            <w:pPr>
              <w:spacing w:line="360" w:lineRule="auto"/>
              <w:ind w:firstLine="421"/>
            </w:pPr>
            <w:r>
              <w:rPr>
                <w:rFonts w:hint="eastAsia"/>
              </w:rPr>
              <w:t>2、废气管控，办公现场基本无废气排放。</w:t>
            </w:r>
          </w:p>
          <w:p>
            <w:pPr>
              <w:spacing w:line="360" w:lineRule="auto"/>
              <w:ind w:firstLine="421"/>
            </w:pPr>
            <w:r>
              <w:rPr>
                <w:rFonts w:hint="eastAsia"/>
              </w:rPr>
              <w:t>3、噪声管控;办公噪声主要是复印机运行，噪声较低，采取措施按时清洁保养。</w:t>
            </w:r>
          </w:p>
          <w:p>
            <w:pPr>
              <w:spacing w:line="360" w:lineRule="auto"/>
              <w:ind w:firstLine="421"/>
            </w:pPr>
            <w:r>
              <w:rPr>
                <w:rFonts w:hint="eastAsia"/>
              </w:rPr>
              <w:t>4、固废管控:主要为生活垃圾，办公室有垃圾篓集中倒入垃圾站由市政环卫运送至统一地点集中处理。</w:t>
            </w:r>
          </w:p>
          <w:p>
            <w:pPr>
              <w:numPr>
                <w:ilvl w:val="0"/>
                <w:numId w:val="2"/>
              </w:numPr>
              <w:spacing w:after="160" w:line="360" w:lineRule="auto"/>
              <w:ind w:firstLine="421"/>
            </w:pPr>
            <w:r>
              <w:rPr>
                <w:rFonts w:hint="eastAsia"/>
              </w:rPr>
              <w:t>能源资源管控:注意节水、节电、节油，人走关闭开关，未发现有漏水和浪费电能的现象。</w:t>
            </w:r>
          </w:p>
          <w:p>
            <w:pPr>
              <w:spacing w:line="360" w:lineRule="auto"/>
              <w:ind w:firstLine="421"/>
            </w:pPr>
            <w:r>
              <w:rPr>
                <w:rFonts w:hint="eastAsia"/>
              </w:rPr>
              <w:t>6、潜在火灾管控:办公室配备灭火器及楼道消防栓，有日常检查管控，符合要求。</w:t>
            </w:r>
          </w:p>
          <w:p>
            <w:pPr>
              <w:spacing w:line="360" w:lineRule="auto"/>
              <w:ind w:firstLine="420" w:firstLineChars="200"/>
              <w:rPr>
                <w:rFonts w:hint="eastAsia"/>
              </w:rPr>
            </w:pPr>
            <w:r>
              <w:rPr>
                <w:rFonts w:hint="eastAsia"/>
              </w:rPr>
              <w:t>7、为员工上社保。</w:t>
            </w:r>
          </w:p>
          <w:p>
            <w:pPr>
              <w:pStyle w:val="12"/>
              <w:rPr>
                <w:rFonts w:hint="eastAsia" w:asciiTheme="minorEastAsia" w:hAnsiTheme="minorEastAsia" w:eastAsiaTheme="minorEastAsia" w:cstheme="minorEastAsia"/>
                <w:color w:val="auto"/>
                <w:sz w:val="21"/>
                <w:szCs w:val="21"/>
                <w:lang w:val="en-US" w:eastAsia="zh-CN"/>
              </w:rPr>
            </w:pPr>
            <w:r>
              <w:rPr>
                <w:rFonts w:hint="eastAsia"/>
                <w:lang w:val="en-US" w:eastAsia="zh-CN"/>
              </w:rPr>
              <w:t>8、</w:t>
            </w:r>
            <w:r>
              <w:rPr>
                <w:rFonts w:hint="eastAsia" w:asciiTheme="minorEastAsia" w:hAnsiTheme="minorEastAsia" w:eastAsiaTheme="minorEastAsia" w:cstheme="minorEastAsia"/>
                <w:color w:val="auto"/>
                <w:sz w:val="21"/>
                <w:szCs w:val="21"/>
                <w:lang w:val="en-US" w:eastAsia="zh-CN"/>
              </w:rPr>
              <w:t>查财务资金投入：</w:t>
            </w:r>
          </w:p>
          <w:p>
            <w:pPr>
              <w:pStyle w:val="12"/>
              <w:rPr>
                <w:rFonts w:hint="eastAsia" w:eastAsia="宋体"/>
                <w:lang w:val="en-US" w:eastAsia="zh-CN"/>
              </w:rPr>
            </w:pPr>
            <w:r>
              <w:rPr>
                <w:rFonts w:hint="eastAsia" w:asciiTheme="minorEastAsia" w:hAnsiTheme="minorEastAsia" w:eastAsiaTheme="minorEastAsia" w:cstheme="minorEastAsia"/>
                <w:color w:val="auto"/>
                <w:sz w:val="21"/>
                <w:szCs w:val="21"/>
              </w:rPr>
              <w:t>消防设施采购费</w:t>
            </w:r>
            <w:r>
              <w:rPr>
                <w:rFonts w:hint="eastAsia" w:asciiTheme="minorEastAsia" w:hAnsiTheme="minorEastAsia" w:eastAsiaTheme="minorEastAsia" w:cstheme="minorEastAsia"/>
                <w:color w:val="auto"/>
                <w:sz w:val="21"/>
                <w:szCs w:val="21"/>
                <w:lang w:val="en-US" w:eastAsia="zh-CN"/>
              </w:rPr>
              <w:t>2500</w:t>
            </w:r>
            <w:r>
              <w:rPr>
                <w:rFonts w:hint="eastAsia" w:asciiTheme="minorEastAsia" w:hAnsiTheme="minorEastAsia" w:eastAsiaTheme="minorEastAsia" w:cstheme="minorEastAsia"/>
                <w:color w:val="auto"/>
                <w:sz w:val="21"/>
                <w:szCs w:val="21"/>
              </w:rPr>
              <w:t>元，劳保用品</w:t>
            </w:r>
            <w:r>
              <w:rPr>
                <w:rFonts w:hint="eastAsia" w:asciiTheme="minorEastAsia" w:hAnsiTheme="minorEastAsia" w:eastAsiaTheme="minorEastAsia" w:cstheme="minorEastAsia"/>
                <w:color w:val="auto"/>
                <w:sz w:val="21"/>
                <w:szCs w:val="21"/>
                <w:lang w:val="en-US" w:eastAsia="zh-CN"/>
              </w:rPr>
              <w:t xml:space="preserve"> 3800 </w:t>
            </w:r>
            <w:r>
              <w:rPr>
                <w:rFonts w:hint="eastAsia" w:asciiTheme="minorEastAsia" w:hAnsiTheme="minorEastAsia" w:eastAsiaTheme="minorEastAsia" w:cstheme="minorEastAsia"/>
                <w:color w:val="auto"/>
                <w:sz w:val="21"/>
                <w:szCs w:val="21"/>
              </w:rPr>
              <w:t xml:space="preserve"> 元、水电费</w:t>
            </w:r>
            <w:r>
              <w:rPr>
                <w:rFonts w:hint="eastAsia" w:asciiTheme="minorEastAsia" w:hAnsiTheme="minorEastAsia" w:eastAsiaTheme="minorEastAsia" w:cstheme="minorEastAsia"/>
                <w:color w:val="auto"/>
                <w:sz w:val="21"/>
                <w:szCs w:val="21"/>
                <w:lang w:val="en-US" w:eastAsia="zh-CN"/>
              </w:rPr>
              <w:t>12000</w:t>
            </w:r>
            <w:r>
              <w:rPr>
                <w:rFonts w:hint="eastAsia" w:asciiTheme="minorEastAsia" w:hAnsiTheme="minorEastAsia" w:eastAsiaTheme="minorEastAsia" w:cstheme="minorEastAsia"/>
                <w:color w:val="auto"/>
                <w:sz w:val="21"/>
                <w:szCs w:val="21"/>
              </w:rPr>
              <w:t xml:space="preserve"> 元等</w:t>
            </w:r>
            <w:r>
              <w:rPr>
                <w:rFonts w:hint="eastAsia" w:asciiTheme="minorEastAsia" w:hAnsiTheme="minorEastAsia" w:eastAsiaTheme="minorEastAsia" w:cstheme="minorEastAsia"/>
                <w:color w:val="auto"/>
                <w:sz w:val="21"/>
                <w:szCs w:val="21"/>
                <w:lang w:eastAsia="zh-CN"/>
              </w:rPr>
              <w:t>；</w:t>
            </w:r>
          </w:p>
          <w:p>
            <w:pPr>
              <w:pStyle w:val="12"/>
            </w:pPr>
            <w:r>
              <w:rPr>
                <w:rFonts w:hint="eastAsia"/>
              </w:rPr>
              <w:t>识别了办公活动主要可能导致的危险有：使用电器设备的触电以及交通安全等。</w:t>
            </w:r>
          </w:p>
          <w:p>
            <w:pPr>
              <w:pStyle w:val="12"/>
            </w:pPr>
            <w:r>
              <w:rPr>
                <w:rFonts w:hint="eastAsia"/>
              </w:rPr>
              <w:t>采取了相关的措施，使用了漏电保护器，并且在每日下班之前各部门检查电器、火灾的隐患，公司机关人员到施工现场时，佩戴必要的安全防护用品，并遵守施工现场的安全管理规定，公司员工参加了交通法规和安全教育培训活动。</w:t>
            </w:r>
          </w:p>
          <w:p>
            <w:pPr>
              <w:pStyle w:val="12"/>
            </w:pPr>
            <w:r>
              <w:rPr>
                <w:rFonts w:hint="eastAsia"/>
              </w:rPr>
              <w:t>林总介绍，为员工购买了养老、工伤、失业保险等。</w:t>
            </w:r>
          </w:p>
          <w:p>
            <w:pPr>
              <w:pStyle w:val="12"/>
            </w:pPr>
            <w:r>
              <w:rPr>
                <w:rFonts w:hint="eastAsia"/>
              </w:rPr>
              <w:t>公司对于相关方的控制，以发放公开信、对相关方施加影响协议书等方式，向其施加环境影响。</w:t>
            </w:r>
          </w:p>
          <w:p>
            <w:pPr>
              <w:pStyle w:val="12"/>
            </w:pPr>
            <w:r>
              <w:rPr>
                <w:rFonts w:hint="eastAsia"/>
              </w:rPr>
              <w:t xml:space="preserve">    查到：《办公区环境安全检查记录》2</w:t>
            </w:r>
            <w:r>
              <w:t>020.03</w:t>
            </w:r>
            <w:r>
              <w:rPr>
                <w:rFonts w:hint="eastAsia"/>
              </w:rPr>
              <w:t>，已按策划实施了监视和测量，其中记录了检查内容：现场管理情况；固废清理、排放情况。检查人：刘辉，基本符合。</w:t>
            </w:r>
          </w:p>
          <w:p>
            <w:pPr>
              <w:pStyle w:val="12"/>
            </w:pPr>
            <w:r>
              <w:rPr>
                <w:rFonts w:hint="eastAsia"/>
              </w:rPr>
              <w:t xml:space="preserve"> 用电方面布线规范，并且在每日下班之前，由专人检查电器、火灾的隐患。</w:t>
            </w:r>
          </w:p>
        </w:tc>
        <w:tc>
          <w:tcPr>
            <w:tcW w:w="593"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160" w:type="dxa"/>
          </w:tcPr>
          <w:p>
            <w:pPr>
              <w:spacing w:line="280" w:lineRule="exact"/>
              <w:rPr>
                <w:rFonts w:ascii="宋体" w:hAnsi="宋体" w:cs="宋体"/>
                <w:szCs w:val="21"/>
              </w:rPr>
            </w:pPr>
            <w:r>
              <w:rPr>
                <w:rFonts w:hint="eastAsia"/>
                <w:szCs w:val="21"/>
              </w:rPr>
              <w:t>应急准备和响应</w:t>
            </w:r>
          </w:p>
        </w:tc>
        <w:tc>
          <w:tcPr>
            <w:tcW w:w="9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asciiTheme="minorEastAsia" w:hAnsiTheme="minorEastAsia" w:eastAsiaTheme="minorEastAsia" w:cstheme="minorEastAsia"/>
                <w:szCs w:val="21"/>
              </w:rPr>
              <w:t xml:space="preserve">/O </w:t>
            </w:r>
            <w:r>
              <w:rPr>
                <w:rFonts w:hint="eastAsia" w:asciiTheme="minorEastAsia" w:hAnsiTheme="minorEastAsia" w:eastAsiaTheme="minorEastAsia" w:cstheme="minorEastAsia"/>
                <w:szCs w:val="21"/>
              </w:rPr>
              <w:t>8.2</w:t>
            </w:r>
          </w:p>
          <w:p>
            <w:pPr>
              <w:spacing w:line="280" w:lineRule="exact"/>
              <w:rPr>
                <w:rFonts w:asciiTheme="minorEastAsia" w:hAnsiTheme="minorEastAsia" w:eastAsiaTheme="minorEastAsia" w:cstheme="minorEastAsia"/>
                <w:szCs w:val="21"/>
              </w:rPr>
            </w:pPr>
          </w:p>
        </w:tc>
        <w:tc>
          <w:tcPr>
            <w:tcW w:w="10996" w:type="dxa"/>
            <w:vAlign w:val="center"/>
          </w:tcPr>
          <w:p>
            <w:pPr>
              <w:pStyle w:val="13"/>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公司编制了《应急准备和响应控制程序》，查看内容基本符合要求。策划了应急预案包括火灾、触电等应急预案。查应急预案评估报告，通过以上评估，公司应急预案的制定基本合理。</w:t>
            </w:r>
          </w:p>
          <w:p>
            <w:pPr>
              <w:pStyle w:val="13"/>
              <w:spacing w:line="360" w:lineRule="auto"/>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参加了公司组织全体员工的消防演练2</w:t>
            </w:r>
            <w:r>
              <w:rPr>
                <w:rFonts w:asciiTheme="minorEastAsia" w:hAnsiTheme="minorEastAsia" w:eastAsiaTheme="minorEastAsia" w:cstheme="minorEastAsia"/>
                <w:szCs w:val="21"/>
              </w:rPr>
              <w:t>020.04.24</w:t>
            </w:r>
            <w:r>
              <w:rPr>
                <w:rFonts w:hint="eastAsia" w:asciiTheme="minorEastAsia" w:hAnsiTheme="minorEastAsia" w:eastAsiaTheme="minorEastAsia" w:cstheme="minorEastAsia"/>
                <w:szCs w:val="21"/>
              </w:rPr>
              <w:t>，触电应急演习2</w:t>
            </w:r>
            <w:r>
              <w:rPr>
                <w:rFonts w:asciiTheme="minorEastAsia" w:hAnsiTheme="minorEastAsia" w:eastAsiaTheme="minorEastAsia" w:cstheme="minorEastAsia"/>
                <w:szCs w:val="21"/>
              </w:rPr>
              <w:t>020.07.29</w:t>
            </w:r>
            <w:r>
              <w:rPr>
                <w:rFonts w:hint="eastAsia" w:asciiTheme="minorEastAsia" w:hAnsiTheme="minorEastAsia" w:eastAsiaTheme="minorEastAsia" w:cstheme="minorEastAsia"/>
                <w:szCs w:val="21"/>
              </w:rPr>
              <w:t xml:space="preserve">，相关员工均接受过培训，知晓灭火器使用和各种火情的灭火方法及基本的应急救援知识。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抽查《应急准备和响应控制程序》，包括 ：应急演练目的、演练适用范围、总体思想和原则、应急小组联系人电话等。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演习期间财务为消防演练提供了物资资金支持：包括干粉灭火器4台，二氧化碳灭火器2台；毛巾、安全帽等。</w:t>
            </w:r>
          </w:p>
          <w:p>
            <w:pPr>
              <w:pStyle w:val="13"/>
              <w:spacing w:line="360" w:lineRule="auto"/>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经审核询问相关人员以上措施均的真实性及有效性。能够清楚回答整个演习的基本流程及应急过程主要的措施。</w:t>
            </w:r>
          </w:p>
        </w:tc>
        <w:tc>
          <w:tcPr>
            <w:tcW w:w="593"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内部审核</w:t>
            </w:r>
          </w:p>
          <w:p>
            <w:pPr>
              <w:spacing w:line="280" w:lineRule="exact"/>
              <w:rPr>
                <w:rFonts w:ascii="宋体" w:hAnsi="宋体" w:cs="宋体"/>
                <w:kern w:val="0"/>
                <w:szCs w:val="21"/>
              </w:rPr>
            </w:pPr>
          </w:p>
          <w:p>
            <w:pPr>
              <w:spacing w:line="280" w:lineRule="exact"/>
              <w:rPr>
                <w:szCs w:val="21"/>
              </w:rPr>
            </w:pPr>
          </w:p>
        </w:tc>
        <w:tc>
          <w:tcPr>
            <w:tcW w:w="960" w:type="dxa"/>
          </w:tcPr>
          <w:p>
            <w:pPr>
              <w:spacing w:line="280" w:lineRule="exact"/>
              <w:rPr>
                <w:rFonts w:ascii="宋体" w:hAnsi="宋体" w:cs="宋体"/>
                <w:kern w:val="0"/>
                <w:szCs w:val="21"/>
              </w:rPr>
            </w:pPr>
            <w:r>
              <w:rPr>
                <w:rFonts w:hint="eastAsia" w:ascii="宋体" w:hAnsi="宋体" w:cs="宋体"/>
                <w:kern w:val="0"/>
                <w:szCs w:val="21"/>
              </w:rPr>
              <w:t>E</w:t>
            </w:r>
            <w:r>
              <w:rPr>
                <w:rFonts w:ascii="宋体" w:hAnsi="宋体" w:cs="宋体"/>
                <w:kern w:val="0"/>
                <w:szCs w:val="21"/>
              </w:rPr>
              <w:t>/O</w:t>
            </w:r>
            <w:r>
              <w:rPr>
                <w:rFonts w:hint="eastAsia" w:ascii="宋体" w:hAnsi="宋体" w:cs="宋体"/>
                <w:kern w:val="0"/>
                <w:szCs w:val="21"/>
              </w:rPr>
              <w:t>9.2</w:t>
            </w:r>
          </w:p>
          <w:p>
            <w:pPr>
              <w:spacing w:line="280" w:lineRule="exact"/>
              <w:rPr>
                <w:szCs w:val="21"/>
              </w:rPr>
            </w:pPr>
          </w:p>
        </w:tc>
        <w:tc>
          <w:tcPr>
            <w:tcW w:w="10996" w:type="dxa"/>
            <w:vAlign w:val="center"/>
          </w:tcPr>
          <w:p>
            <w:pPr>
              <w:spacing w:line="360" w:lineRule="auto"/>
              <w:ind w:firstLine="420" w:firstLineChars="200"/>
              <w:rPr>
                <w:szCs w:val="21"/>
              </w:rPr>
            </w:pPr>
            <w:r>
              <w:rPr>
                <w:rFonts w:hint="eastAsia"/>
                <w:szCs w:val="21"/>
              </w:rPr>
              <w:t>编制内部审核控制程序HYHD  -CX-9.2-08，2020年6月20日实施内部审核，提供了内部审核计划，首末次会议签到表，内审检查表及完整的内部审核报告。审核依据：GB/T19001-2016 idt ISO9001:2015、GB/T24001-2016 idt ISO14001:2015、GB/T45001-2020/ISO45001:2018标准；相关法律法规及其他要求，公司相关管理文件；规定内部审核每年进行一次，间隔时间不得超过12个月。</w:t>
            </w:r>
          </w:p>
          <w:p>
            <w:pPr>
              <w:spacing w:line="360" w:lineRule="auto"/>
              <w:ind w:firstLine="420" w:firstLineChars="200"/>
              <w:rPr>
                <w:szCs w:val="21"/>
              </w:rPr>
            </w:pPr>
            <w:r>
              <w:rPr>
                <w:rFonts w:hint="eastAsia"/>
                <w:szCs w:val="21"/>
              </w:rPr>
              <w:t>审核组成员：组长：申国昌</w:t>
            </w:r>
            <w:r>
              <w:rPr>
                <w:rFonts w:hint="eastAsia"/>
                <w:szCs w:val="21"/>
              </w:rPr>
              <w:tab/>
            </w:r>
            <w:r>
              <w:rPr>
                <w:rFonts w:hint="eastAsia"/>
                <w:szCs w:val="21"/>
              </w:rPr>
              <w:t xml:space="preserve"> </w:t>
            </w:r>
          </w:p>
          <w:p>
            <w:pPr>
              <w:spacing w:line="360" w:lineRule="auto"/>
              <w:ind w:firstLine="420" w:firstLineChars="200"/>
              <w:rPr>
                <w:szCs w:val="21"/>
              </w:rPr>
            </w:pPr>
            <w:r>
              <w:rPr>
                <w:rFonts w:hint="eastAsia"/>
                <w:szCs w:val="21"/>
              </w:rPr>
              <w:t xml:space="preserve">                组员：刘辉</w:t>
            </w:r>
          </w:p>
          <w:p>
            <w:pPr>
              <w:spacing w:line="360" w:lineRule="auto"/>
              <w:ind w:firstLine="420" w:firstLineChars="200"/>
              <w:rPr>
                <w:szCs w:val="21"/>
              </w:rPr>
            </w:pPr>
            <w:r>
              <w:rPr>
                <w:rFonts w:hint="eastAsia"/>
                <w:szCs w:val="21"/>
              </w:rPr>
              <w:t>审核覆盖了所有部门及标准条款要素。没有发现自身审核自身部门的问题，审核组成员具备内审员资格</w:t>
            </w:r>
          </w:p>
          <w:p>
            <w:pPr>
              <w:spacing w:line="360" w:lineRule="auto"/>
              <w:ind w:firstLine="420" w:firstLineChars="200"/>
              <w:rPr>
                <w:szCs w:val="21"/>
              </w:rPr>
            </w:pPr>
            <w:r>
              <w:rPr>
                <w:rFonts w:hint="eastAsia"/>
                <w:szCs w:val="21"/>
              </w:rPr>
              <w:t>开具一般不合格项一项，已经完成相关的纠正措施并验证其有效性。2020年6月20日形成内部审核报告，</w:t>
            </w:r>
          </w:p>
          <w:p>
            <w:pPr>
              <w:spacing w:line="280" w:lineRule="exact"/>
              <w:ind w:firstLine="420" w:firstLineChars="200"/>
              <w:rPr>
                <w:szCs w:val="21"/>
              </w:rPr>
            </w:pPr>
            <w:r>
              <w:rPr>
                <w:rFonts w:hint="eastAsia"/>
                <w:szCs w:val="21"/>
              </w:rPr>
              <w:t>告知管理层主要人员审核内容，最终评价体系运行正常有效。</w:t>
            </w:r>
          </w:p>
        </w:tc>
        <w:tc>
          <w:tcPr>
            <w:tcW w:w="593" w:type="dxa"/>
          </w:tcPr>
          <w:p>
            <w:r>
              <w:rPr>
                <w:rFonts w:hint="eastAsia"/>
              </w:rPr>
              <w:t>Y</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3073"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21DAB"/>
    <w:multiLevelType w:val="singleLevel"/>
    <w:tmpl w:val="A3621DAB"/>
    <w:lvl w:ilvl="0" w:tentative="0">
      <w:start w:val="1"/>
      <w:numFmt w:val="decimal"/>
      <w:suff w:val="space"/>
      <w:lvlText w:val="%1、"/>
      <w:lvlJc w:val="left"/>
    </w:lvl>
  </w:abstractNum>
  <w:abstractNum w:abstractNumId="1">
    <w:nsid w:val="33638A8C"/>
    <w:multiLevelType w:val="singleLevel"/>
    <w:tmpl w:val="33638A8C"/>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95D00"/>
    <w:rsid w:val="00242D5E"/>
    <w:rsid w:val="0034612A"/>
    <w:rsid w:val="005563CB"/>
    <w:rsid w:val="00895D00"/>
    <w:rsid w:val="00BD429A"/>
    <w:rsid w:val="00D21B46"/>
    <w:rsid w:val="00F748C0"/>
    <w:rsid w:val="00F82182"/>
    <w:rsid w:val="0403667A"/>
    <w:rsid w:val="13242104"/>
    <w:rsid w:val="24C437B3"/>
    <w:rsid w:val="30171926"/>
    <w:rsid w:val="436B5D3B"/>
    <w:rsid w:val="5426427E"/>
    <w:rsid w:val="6B1947D6"/>
    <w:rsid w:val="6BBE65D6"/>
    <w:rsid w:val="6E58316B"/>
    <w:rsid w:val="773B337F"/>
    <w:rsid w:val="77C737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line="259" w:lineRule="auto"/>
    </w:pPr>
    <w:rPr>
      <w:bCs/>
      <w:spacing w:val="10"/>
    </w:rPr>
  </w:style>
  <w:style w:type="paragraph" w:customStyle="1" w:styleId="13">
    <w:name w:val="_Style 2"/>
    <w:basedOn w:val="1"/>
    <w:qFormat/>
    <w:uiPriority w:val="34"/>
    <w:pPr>
      <w:spacing w:after="160" w:line="259" w:lineRule="auto"/>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891</Words>
  <Characters>5085</Characters>
  <Lines>42</Lines>
  <Paragraphs>11</Paragraphs>
  <TotalTime>0</TotalTime>
  <ScaleCrop>false</ScaleCrop>
  <LinksUpToDate>false</LinksUpToDate>
  <CharactersWithSpaces>5965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2020-09-12T13:22:19Z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