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四川亚大塑料制品有限公司</w:t>
      </w:r>
      <w:bookmarkEnd w:id="1"/>
    </w:p>
    <w:p>
      <w:pPr>
        <w:spacing w:line="360" w:lineRule="auto"/>
        <w:ind w:firstLine="1440" w:firstLineChars="300"/>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0041-2016-2020</w:t>
      </w:r>
      <w:bookmarkEnd w:id="2"/>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firstLine="4860" w:firstLineChars="2700"/>
        <w:jc w:val="both"/>
        <w:rPr>
          <w:rFonts w:ascii="Times New Roman" w:hAnsi="Times New Roman" w:eastAsia="宋体" w:cs="Times New Roman"/>
          <w:bCs/>
          <w:kern w:val="0"/>
          <w:sz w:val="18"/>
          <w:szCs w:val="18"/>
        </w:rPr>
      </w:pPr>
    </w:p>
    <w:p>
      <w:pPr>
        <w:widowControl/>
        <w:spacing w:line="360" w:lineRule="auto"/>
        <w:ind w:firstLine="4860" w:firstLineChars="2700"/>
        <w:jc w:val="both"/>
        <w:rPr>
          <w:rFonts w:ascii="Times New Roman" w:hAnsi="Times New Roman" w:eastAsia="宋体" w:cs="Times New Roman"/>
          <w:bCs/>
          <w:kern w:val="0"/>
          <w:sz w:val="18"/>
          <w:szCs w:val="18"/>
        </w:rPr>
      </w:pPr>
    </w:p>
    <w:p>
      <w:pPr>
        <w:widowControl/>
        <w:spacing w:line="360" w:lineRule="auto"/>
        <w:ind w:firstLine="6120" w:firstLineChars="3400"/>
        <w:jc w:val="both"/>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0041-2016-2020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636"/>
        <w:gridCol w:w="18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63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四川亚大塑料制品有限公司</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97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rPr>
              <w:t>豆利军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636"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cs="宋体" w:asciiTheme="minorEastAsia" w:hAnsiTheme="minorEastAsia"/>
                <w:kern w:val="0"/>
                <w:szCs w:val="21"/>
              </w:rPr>
              <w:t>ISC-201</w:t>
            </w:r>
            <w:r>
              <w:rPr>
                <w:rFonts w:hint="eastAsia" w:cs="宋体" w:asciiTheme="minorEastAsia" w:hAnsiTheme="minorEastAsia"/>
                <w:kern w:val="0"/>
                <w:szCs w:val="21"/>
                <w:lang w:val="en-US" w:eastAsia="zh-CN"/>
              </w:rPr>
              <w:t>6</w:t>
            </w:r>
            <w:r>
              <w:rPr>
                <w:rFonts w:cs="宋体" w:asciiTheme="minorEastAsia" w:hAnsiTheme="minorEastAsia"/>
                <w:kern w:val="0"/>
                <w:szCs w:val="21"/>
              </w:rPr>
              <w:t>-0</w:t>
            </w:r>
            <w:r>
              <w:rPr>
                <w:rFonts w:hint="eastAsia" w:cs="宋体" w:asciiTheme="minorEastAsia" w:hAnsiTheme="minorEastAsia"/>
                <w:kern w:val="0"/>
                <w:szCs w:val="21"/>
                <w:lang w:val="en-US" w:eastAsia="zh-CN"/>
              </w:rPr>
              <w:t>034</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97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2021年0</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月0</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636" w:type="dxa"/>
          </w:tcPr>
          <w:p>
            <w:pPr>
              <w:tabs>
                <w:tab w:val="left" w:pos="880"/>
              </w:tabs>
              <w:autoSpaceDE w:val="0"/>
              <w:autoSpaceDN w:val="0"/>
              <w:adjustRightInd w:val="0"/>
              <w:spacing w:before="35" w:line="360" w:lineRule="auto"/>
              <w:ind w:right="161" w:firstLine="210" w:firstLineChars="100"/>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四</w:t>
            </w:r>
            <w:r>
              <w:rPr>
                <w:rFonts w:hint="eastAsia" w:cs="宋体" w:asciiTheme="minorEastAsia" w:hAnsiTheme="minorEastAsia"/>
                <w:kern w:val="0"/>
                <w:szCs w:val="21"/>
              </w:rPr>
              <w:t>次监督审核</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kern w:val="0"/>
                <w:szCs w:val="21"/>
              </w:rPr>
              <w:t>时间</w:t>
            </w:r>
          </w:p>
        </w:tc>
        <w:tc>
          <w:tcPr>
            <w:tcW w:w="2977"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color w:val="FF0000"/>
                <w:kern w:val="0"/>
                <w:szCs w:val="21"/>
                <w:lang w:val="en-US" w:eastAsia="zh-CN"/>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09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65" w:type="dxa"/>
          </w:tcPr>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636" w:type="dxa"/>
          </w:tcPr>
          <w:p>
            <w:pPr>
              <w:tabs>
                <w:tab w:val="left" w:pos="880"/>
              </w:tabs>
              <w:autoSpaceDE w:val="0"/>
              <w:autoSpaceDN w:val="0"/>
              <w:adjustRightInd w:val="0"/>
              <w:spacing w:before="35" w:line="360" w:lineRule="auto"/>
              <w:ind w:right="161" w:firstLine="210" w:firstLineChars="100"/>
              <w:rPr>
                <w:rFonts w:hint="eastAsia" w:ascii="宋体" w:hAnsi="宋体"/>
                <w:color w:val="FF0000"/>
                <w:szCs w:val="21"/>
              </w:rPr>
            </w:pPr>
            <w:r>
              <w:rPr>
                <w:rFonts w:hint="eastAsia"/>
                <w:color w:val="000000"/>
                <w:szCs w:val="21"/>
                <w:lang w:val="en-US" w:eastAsia="zh-CN"/>
              </w:rPr>
              <w:t xml:space="preserve">孙保健 </w:t>
            </w:r>
            <w:r>
              <w:rPr>
                <w:color w:val="000000"/>
                <w:szCs w:val="21"/>
              </w:rPr>
              <w:t>ISC[S]0176</w:t>
            </w:r>
          </w:p>
          <w:p>
            <w:pPr>
              <w:tabs>
                <w:tab w:val="left" w:pos="880"/>
              </w:tabs>
              <w:autoSpaceDE w:val="0"/>
              <w:autoSpaceDN w:val="0"/>
              <w:adjustRightInd w:val="0"/>
              <w:spacing w:before="35" w:line="360" w:lineRule="auto"/>
              <w:ind w:right="161" w:firstLine="210" w:firstLineChars="100"/>
              <w:rPr>
                <w:rFonts w:hint="default" w:ascii="宋体" w:hAnsi="宋体"/>
                <w:color w:val="FF0000"/>
                <w:szCs w:val="21"/>
                <w:lang w:val="en-US"/>
              </w:rPr>
            </w:pPr>
            <w:r>
              <w:rPr>
                <w:rFonts w:ascii="宋体" w:hAnsi="宋体"/>
                <w:szCs w:val="21"/>
              </w:rPr>
              <w:t>胡琳</w:t>
            </w:r>
            <w:r>
              <w:rPr>
                <w:rFonts w:hint="eastAsia" w:ascii="宋体" w:hAnsi="宋体"/>
                <w:szCs w:val="21"/>
                <w:lang w:val="en-US" w:eastAsia="zh-CN"/>
              </w:rPr>
              <w:t xml:space="preserve"> ISC[S]0373</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97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kern w:val="0"/>
                <w:szCs w:val="21"/>
                <w:lang w:val="en-US" w:eastAsia="zh-CN"/>
              </w:rPr>
              <w:t>行政人事部</w:t>
            </w:r>
            <w:r>
              <w:rPr>
                <w:rFonts w:hint="eastAsia" w:ascii="宋体" w:hAnsi="宋体" w:cs="宋体"/>
                <w:kern w:val="0"/>
                <w:szCs w:val="21"/>
              </w:rPr>
              <w:t>、生产部、</w:t>
            </w:r>
            <w:r>
              <w:rPr>
                <w:rFonts w:hint="eastAsia" w:ascii="宋体" w:hAnsi="宋体" w:cs="宋体"/>
                <w:kern w:val="0"/>
                <w:szCs w:val="21"/>
                <w:lang w:val="en-US" w:eastAsia="zh-CN"/>
              </w:rPr>
              <w:t>技术质保部。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hint="eastAsia" w:cs="宋体" w:asciiTheme="minorEastAsia" w:hAnsiTheme="minorEastAsia" w:eastAsiaTheme="minorEastAsia"/>
          <w:bCs/>
          <w:kern w:val="0"/>
          <w:szCs w:val="21"/>
          <w:lang w:eastAsia="zh-CN"/>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为有效评价公司测量管理体系认证后一年以来运行情况，20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09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03</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w:t>
      </w:r>
      <w:r>
        <w:rPr>
          <w:rFonts w:hint="eastAsia" w:cs="宋体" w:asciiTheme="minorEastAsia" w:hAnsiTheme="minorEastAsia"/>
          <w:bCs/>
          <w:kern w:val="0"/>
          <w:szCs w:val="21"/>
          <w:lang w:val="en-US" w:eastAsia="zh-CN"/>
        </w:rPr>
        <w:t>2019年全年能耗折合标煤</w:t>
      </w:r>
      <w:r>
        <w:rPr>
          <w:rFonts w:hint="eastAsia" w:cs="宋体" w:asciiTheme="minorEastAsia" w:hAnsiTheme="minorEastAsia"/>
          <w:bCs/>
          <w:color w:val="000000" w:themeColor="text1"/>
          <w:kern w:val="0"/>
          <w:szCs w:val="21"/>
          <w:lang w:val="en-US" w:eastAsia="zh-CN"/>
        </w:rPr>
        <w:t>915</w:t>
      </w:r>
      <w:r>
        <w:rPr>
          <w:rFonts w:hint="eastAsia" w:cs="宋体" w:asciiTheme="minorEastAsia" w:hAnsiTheme="minorEastAsia"/>
          <w:bCs/>
          <w:kern w:val="0"/>
          <w:szCs w:val="21"/>
          <w:lang w:val="en-US" w:eastAsia="zh-CN"/>
        </w:rPr>
        <w:t>吨。</w:t>
      </w:r>
      <w:r>
        <w:rPr>
          <w:rFonts w:hint="eastAsia" w:cs="宋体" w:asciiTheme="minorEastAsia" w:hAnsiTheme="minorEastAsia"/>
          <w:bCs/>
          <w:kern w:val="0"/>
          <w:szCs w:val="21"/>
        </w:rPr>
        <w:t>重点抽查</w:t>
      </w:r>
      <w:r>
        <w:rPr>
          <w:rFonts w:hint="eastAsia" w:ascii="宋体" w:hAnsi="宋体"/>
          <w:szCs w:val="21"/>
        </w:rPr>
        <w:t>了公司计量特征突出的重要环节、</w:t>
      </w:r>
      <w:r>
        <w:rPr>
          <w:rFonts w:hint="eastAsia" w:ascii="宋体" w:hAnsi="宋体" w:eastAsia="宋体" w:cs="Times New Roman"/>
          <w:szCs w:val="21"/>
        </w:rPr>
        <w:t>原材料（外购件、外协件进厂检测）、生产线中产品的各种综合性能检测等测量过程</w:t>
      </w:r>
      <w:r>
        <w:rPr>
          <w:rFonts w:hint="eastAsia" w:ascii="宋体" w:hAnsi="宋体"/>
          <w:szCs w:val="21"/>
        </w:rPr>
        <w:t>以及量值溯源系统</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spacing w:line="360" w:lineRule="auto"/>
        <w:ind w:firstLine="420" w:firstLineChars="200"/>
        <w:rPr>
          <w:rFonts w:hint="eastAsia" w:ascii="宋体" w:hAnsi="宋体"/>
          <w:szCs w:val="21"/>
        </w:rPr>
      </w:pPr>
    </w:p>
    <w:p>
      <w:pPr>
        <w:widowControl/>
        <w:spacing w:line="440" w:lineRule="exact"/>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日 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项不符合项（一般不符合）制定了纠正措施，并进行了整改。20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日进行了管理评审，对测量管理体系进行了有效评价，确保了测量管理体系的运行质量。</w:t>
      </w:r>
    </w:p>
    <w:p>
      <w:pPr>
        <w:widowControl/>
        <w:spacing w:line="440" w:lineRule="exact"/>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400" w:lineRule="exact"/>
        <w:ind w:firstLine="420" w:firstLineChars="200"/>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rPr>
        <w:t>四川亚大塑料制品有限公司领导层重视测量管理体系各项工作，职能部门职能作用发挥较好，建立的测量管理体系，运行正常，并持续符合相关法律、法规的要求；</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2020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抽查了企业对已识别的</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个关键测量过程：</w:t>
      </w:r>
      <w:r>
        <w:rPr>
          <w:rFonts w:hint="eastAsia" w:ascii="宋体" w:hAnsi="宋体" w:eastAsia="宋体" w:cs="宋体"/>
          <w:kern w:val="0"/>
          <w:szCs w:val="21"/>
        </w:rPr>
        <w:t>《</w:t>
      </w:r>
      <w:r>
        <w:rPr>
          <w:rFonts w:hint="eastAsia" w:ascii="Times New Roman" w:hAnsi="Times New Roman" w:cs="Times New Roman"/>
        </w:rPr>
        <w:t>管材外径测量过程</w:t>
      </w:r>
      <w:r>
        <w:rPr>
          <w:rFonts w:hint="eastAsia" w:ascii="宋体" w:hAnsi="宋体" w:eastAsia="宋体" w:cs="宋体"/>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体系运行</w:t>
      </w:r>
      <w:r>
        <w:rPr>
          <w:rFonts w:hint="eastAsia" w:cs="宋体" w:asciiTheme="minorEastAsia" w:hAnsiTheme="minorEastAsia"/>
          <w:kern w:val="0"/>
          <w:szCs w:val="21"/>
          <w:lang w:val="en-US" w:eastAsia="zh-CN"/>
        </w:rPr>
        <w:t>在新的</w:t>
      </w:r>
      <w:r>
        <w:rPr>
          <w:rFonts w:hint="eastAsia" w:cs="宋体" w:asciiTheme="minorEastAsia" w:hAnsiTheme="minorEastAsia"/>
          <w:kern w:val="0"/>
          <w:szCs w:val="21"/>
        </w:rPr>
        <w:t>一年来未有新增测量过程，对高度控制的测量过程能进行有效性控制、监视，记录、监视控制图齐全，完整；抽查了</w:t>
      </w:r>
      <w:r>
        <w:rPr>
          <w:rFonts w:hint="eastAsia" w:ascii="宋体" w:hAnsi="宋体" w:eastAsia="宋体" w:cs="宋体"/>
          <w:kern w:val="0"/>
          <w:szCs w:val="21"/>
        </w:rPr>
        <w:t>《</w:t>
      </w:r>
      <w:r>
        <w:rPr>
          <w:rFonts w:hint="eastAsia" w:ascii="Times New Roman" w:hAnsi="Times New Roman" w:cs="Times New Roman"/>
        </w:rPr>
        <w:t>管材外径测量过程</w:t>
      </w:r>
      <w:r>
        <w:rPr>
          <w:rFonts w:hint="eastAsia" w:ascii="宋体" w:hAnsi="宋体" w:eastAsia="宋体" w:cs="宋体"/>
        </w:rPr>
        <w:t>》</w:t>
      </w:r>
      <w:r>
        <w:rPr>
          <w:rFonts w:hint="eastAsia" w:cs="宋体" w:asciiTheme="minorEastAsia" w:hAnsiTheme="minorEastAsia"/>
          <w:kern w:val="0"/>
          <w:szCs w:val="21"/>
        </w:rPr>
        <w:t>控制的监视记录，见附页：测量过程监视统计记录表及监视控制图。</w:t>
      </w:r>
    </w:p>
    <w:p>
      <w:pPr>
        <w:widowControl/>
        <w:spacing w:line="440" w:lineRule="exact"/>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pStyle w:val="9"/>
        <w:widowControl/>
        <w:spacing w:line="360" w:lineRule="auto"/>
        <w:ind w:left="420" w:firstLine="0" w:firstLineChars="0"/>
        <w:jc w:val="left"/>
        <w:rPr>
          <w:rFonts w:hint="eastAsia" w:cs="宋体"/>
          <w:kern w:val="0"/>
        </w:rPr>
      </w:pPr>
      <w:r>
        <w:rPr>
          <w:rFonts w:hint="eastAsia" w:cs="宋体"/>
          <w:kern w:val="0"/>
        </w:rPr>
        <w:t>公司已针对上一年度开具的不符合项已采取有效措施，已关闭。</w:t>
      </w:r>
    </w:p>
    <w:p>
      <w:pPr>
        <w:pStyle w:val="9"/>
        <w:widowControl/>
        <w:numPr>
          <w:ilvl w:val="0"/>
          <w:numId w:val="0"/>
        </w:numPr>
        <w:spacing w:line="276"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400" w:lineRule="exact"/>
        <w:ind w:firstLine="420" w:firstLineChars="200"/>
        <w:rPr>
          <w:rFonts w:hint="eastAsia" w:asciiTheme="minorEastAsia" w:hAnsiTheme="minorEastAsia"/>
          <w:bCs/>
          <w:szCs w:val="21"/>
        </w:rPr>
      </w:pPr>
      <w:r>
        <w:rPr>
          <w:rFonts w:hint="eastAsia" w:asciiTheme="minorEastAsia" w:hAnsiTheme="minorEastAsia"/>
          <w:bCs/>
          <w:szCs w:val="21"/>
        </w:rPr>
        <w:t>该公司</w:t>
      </w:r>
      <w:r>
        <w:rPr>
          <w:rFonts w:hint="eastAsia" w:hAnsi="DFKai-SB"/>
          <w:color w:val="000000"/>
          <w:szCs w:val="21"/>
          <w:lang w:val="en-US" w:eastAsia="zh-CN"/>
        </w:rPr>
        <w:t>2020年全年能耗：915吨标准煤。</w:t>
      </w:r>
      <w:r>
        <w:rPr>
          <w:rFonts w:hint="eastAsia" w:asciiTheme="minorEastAsia" w:hAnsiTheme="minorEastAsia"/>
          <w:bCs/>
          <w:szCs w:val="21"/>
        </w:rPr>
        <w:t>不属于重点能耗企业，已经按要求统计公司水电气总能耗</w:t>
      </w:r>
      <w:r>
        <w:rPr>
          <w:rFonts w:hint="eastAsia" w:asciiTheme="minorEastAsia" w:hAnsiTheme="minorEastAsia"/>
          <w:bCs/>
          <w:szCs w:val="21"/>
          <w:lang w:eastAsia="zh-CN"/>
        </w:rPr>
        <w:t>，</w:t>
      </w:r>
      <w:r>
        <w:rPr>
          <w:rFonts w:hint="eastAsia" w:asciiTheme="minorEastAsia" w:hAnsiTheme="minorEastAsia"/>
          <w:bCs/>
          <w:szCs w:val="21"/>
        </w:rPr>
        <w:t>建立了能源计量器台账；能源计量器具已纳入测量体系管理。</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spacing w:line="440" w:lineRule="exact"/>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szCs w:val="21"/>
          <w:lang w:val="en-US" w:eastAsia="zh-CN"/>
        </w:rPr>
        <w:t>4</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400" w:lineRule="exact"/>
        <w:rPr>
          <w:rFonts w:ascii="宋体" w:hAnsi="宋体" w:eastAsia="宋体" w:cs="宋体"/>
          <w:kern w:val="0"/>
          <w:szCs w:val="21"/>
        </w:rPr>
      </w:pPr>
      <w:r>
        <w:rPr>
          <w:rFonts w:hint="eastAsia" w:ascii="宋体" w:hAnsi="宋体" w:eastAsia="宋体" w:cs="宋体"/>
          <w:kern w:val="0"/>
          <w:szCs w:val="21"/>
        </w:rPr>
        <w:t>10. 本次监督审核共出具一般不符合项</w:t>
      </w:r>
      <w:r>
        <w:rPr>
          <w:rFonts w:hint="eastAsia" w:ascii="宋体" w:hAnsi="宋体" w:eastAsia="宋体" w:cs="宋体"/>
          <w:kern w:val="0"/>
          <w:szCs w:val="21"/>
          <w:lang w:val="en-US" w:eastAsia="zh-CN"/>
        </w:rPr>
        <w:t>1</w:t>
      </w:r>
      <w:bookmarkStart w:id="5" w:name="_GoBack"/>
      <w:bookmarkEnd w:id="5"/>
      <w:r>
        <w:rPr>
          <w:rFonts w:hint="eastAsia" w:ascii="宋体" w:hAnsi="宋体" w:eastAsia="宋体" w:cs="宋体"/>
          <w:kern w:val="0"/>
          <w:szCs w:val="21"/>
        </w:rPr>
        <w:t>项，未发现严重的或系统性的不符合情况：</w:t>
      </w:r>
    </w:p>
    <w:p>
      <w:pPr>
        <w:spacing w:line="44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10.1 </w:t>
      </w:r>
      <w:r>
        <w:rPr>
          <w:rFonts w:hint="eastAsia" w:ascii="宋体" w:hAnsi="宋体"/>
          <w:color w:val="auto"/>
          <w:szCs w:val="21"/>
          <w:lang w:eastAsia="zh-CN"/>
        </w:rPr>
        <w:t>查</w:t>
      </w:r>
      <w:r>
        <w:rPr>
          <w:rFonts w:hint="eastAsia" w:ascii="宋体" w:hAnsi="宋体"/>
          <w:color w:val="auto"/>
          <w:szCs w:val="21"/>
          <w:lang w:val="en-US" w:eastAsia="zh-CN"/>
        </w:rPr>
        <w:t>生产部</w:t>
      </w:r>
      <w:r>
        <w:rPr>
          <w:rFonts w:hint="eastAsia" w:ascii="宋体" w:hAnsi="宋体"/>
          <w:color w:val="auto"/>
          <w:szCs w:val="21"/>
          <w:lang w:eastAsia="zh-CN"/>
        </w:rPr>
        <w:t>，</w:t>
      </w:r>
      <w:r>
        <w:rPr>
          <w:rFonts w:hint="eastAsia"/>
          <w:color w:val="auto"/>
          <w:szCs w:val="21"/>
          <w:lang w:eastAsia="zh-CN"/>
        </w:rPr>
        <w:t>编号</w:t>
      </w:r>
      <w:r>
        <w:rPr>
          <w:rFonts w:hint="eastAsia"/>
          <w:color w:val="auto"/>
          <w:szCs w:val="21"/>
          <w:lang w:val="en-US" w:eastAsia="zh-CN"/>
        </w:rPr>
        <w:t xml:space="preserve">11176，型号/规格 </w:t>
      </w:r>
      <w:r>
        <w:rPr>
          <w:rFonts w:hint="eastAsia" w:ascii="宋体" w:hAnsi="宋体" w:eastAsia="宋体" w:cs="宋体"/>
          <w:color w:val="auto"/>
          <w:szCs w:val="21"/>
          <w:lang w:val="en-US" w:eastAsia="zh-CN"/>
        </w:rPr>
        <w:t>(110-230mm/0.02mm)的游标卡钳</w:t>
      </w:r>
      <w:r>
        <w:rPr>
          <w:rFonts w:hint="eastAsia"/>
          <w:color w:val="auto"/>
          <w:szCs w:val="21"/>
          <w:lang w:val="en-US" w:eastAsia="zh-CN"/>
        </w:rPr>
        <w:t>，校准日期：2020.02.27 ，现场</w:t>
      </w:r>
      <w:r>
        <w:rPr>
          <w:rFonts w:hint="eastAsia" w:ascii="宋体" w:hAnsi="宋体"/>
          <w:color w:val="auto"/>
          <w:szCs w:val="21"/>
          <w:lang w:eastAsia="zh-CN"/>
        </w:rPr>
        <w:t>未见确认标识</w:t>
      </w:r>
      <w:r>
        <w:rPr>
          <w:rFonts w:hint="eastAsia" w:ascii="宋体" w:hAnsi="宋体" w:eastAsia="宋体" w:cs="Times New Roman"/>
          <w:color w:val="auto"/>
          <w:szCs w:val="21"/>
          <w:lang w:val="en-US" w:eastAsia="zh-CN"/>
        </w:rPr>
        <w:t>，不符合GB/T 19022-2003  6.2.4之规定。</w:t>
      </w:r>
    </w:p>
    <w:p>
      <w:pPr>
        <w:widowControl/>
        <w:spacing w:line="360" w:lineRule="auto"/>
        <w:jc w:val="left"/>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09</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03</w:t>
      </w:r>
      <w:r>
        <w:rPr>
          <w:rFonts w:hint="eastAsia" w:ascii="宋体" w:hAnsi="宋体" w:eastAsia="宋体" w:cs="宋体"/>
          <w:bCs/>
          <w:kern w:val="0"/>
          <w:szCs w:val="21"/>
        </w:rPr>
        <w:t>日对</w:t>
      </w:r>
      <w:r>
        <w:rPr>
          <w:rFonts w:hint="eastAsia" w:ascii="宋体" w:hAnsi="宋体"/>
          <w:szCs w:val="21"/>
        </w:rPr>
        <w:t>四川亚大塑料制品有限公司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szCs w:val="21"/>
        </w:rPr>
        <w:t>四川亚大塑料制品有限公司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1"/>
        <w:widowControl/>
        <w:spacing w:line="360" w:lineRule="auto"/>
        <w:ind w:right="55" w:firstLine="420"/>
        <w:rPr>
          <w:rStyle w:val="10"/>
          <w:rFonts w:ascii="宋体" w:hAnsi="宋体" w:eastAsia="宋体"/>
          <w:sz w:val="21"/>
          <w:szCs w:val="21"/>
        </w:rPr>
      </w:pPr>
    </w:p>
    <w:p>
      <w:pPr>
        <w:pStyle w:val="11"/>
        <w:widowControl/>
        <w:spacing w:line="360" w:lineRule="auto"/>
        <w:ind w:right="55" w:firstLine="420"/>
        <w:rPr>
          <w:rFonts w:ascii="宋体" w:hAnsi="宋体" w:eastAsia="宋体" w:cs="黑体"/>
          <w:sz w:val="21"/>
          <w:szCs w:val="21"/>
        </w:rPr>
      </w:pPr>
      <w:r>
        <w:rPr>
          <w:rFonts w:ascii="宋体" w:hAnsi="宋体" w:eastAsia="宋体" w:cs="宋体"/>
          <w:szCs w:val="28"/>
        </w:rPr>
        <w:t>审核员 （签字）：</w:t>
      </w:r>
    </w:p>
    <w:p>
      <w:pPr>
        <w:widowControl/>
        <w:spacing w:line="360" w:lineRule="auto"/>
        <w:ind w:right="1365"/>
        <w:rPr>
          <w:rFonts w:ascii="宋体" w:hAnsi="宋体" w:eastAsia="宋体" w:cs="宋体"/>
          <w:b/>
          <w:bCs/>
          <w:kern w:val="0"/>
          <w:szCs w:val="21"/>
        </w:rPr>
      </w:pPr>
    </w:p>
    <w:p>
      <w:pPr>
        <w:widowControl/>
        <w:spacing w:line="36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780" w:firstLineChars="1800"/>
        <w:jc w:val="left"/>
        <w:rPr>
          <w:rFonts w:hint="eastAsia" w:ascii="宋体" w:hAnsi="宋体" w:eastAsia="宋体" w:cs="宋体"/>
          <w:kern w:val="0"/>
          <w:szCs w:val="28"/>
          <w:lang w:val="en-US" w:eastAsia="zh-CN"/>
        </w:rPr>
      </w:pPr>
      <w:r>
        <w:rPr>
          <w:rFonts w:hint="eastAsia" w:ascii="宋体" w:hAnsi="宋体" w:eastAsia="宋体" w:cs="宋体"/>
          <w:kern w:val="0"/>
          <w:szCs w:val="28"/>
        </w:rPr>
        <w:t>审查人员（签字）：             日期：</w:t>
      </w:r>
      <w:r>
        <w:rPr>
          <w:rFonts w:hint="eastAsia" w:ascii="宋体" w:hAnsi="宋体" w:eastAsia="宋体" w:cs="宋体"/>
          <w:kern w:val="0"/>
          <w:szCs w:val="28"/>
          <w:lang w:val="en-US" w:eastAsia="zh-CN"/>
        </w:rPr>
        <w:t xml:space="preserve">   </w:t>
      </w:r>
    </w:p>
    <w:p>
      <w:pPr>
        <w:widowControl/>
        <w:spacing w:line="360" w:lineRule="auto"/>
        <w:ind w:right="1050"/>
        <w:rPr>
          <w:rFonts w:ascii="宋体" w:hAnsi="宋体" w:eastAsia="宋体" w:cs="宋体"/>
          <w:b/>
          <w:bCs/>
          <w:kern w:val="0"/>
          <w:szCs w:val="21"/>
        </w:rPr>
      </w:pPr>
    </w:p>
    <w:p>
      <w:pPr>
        <w:widowControl/>
        <w:spacing w:line="360"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360" w:lineRule="auto"/>
        <w:ind w:right="360"/>
        <w:rPr>
          <w:rFonts w:ascii="Times New Roman" w:hAnsi="Times New Roman" w:eastAsia="宋体" w:cs="Times New Roman"/>
          <w:bCs/>
          <w:kern w:val="0"/>
          <w:sz w:val="18"/>
          <w:szCs w:val="1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6D4434"/>
    <w:rsid w:val="23381857"/>
    <w:rsid w:val="3CBD723B"/>
    <w:rsid w:val="596550AE"/>
    <w:rsid w:val="60306EA4"/>
    <w:rsid w:val="6CEA39D4"/>
    <w:rsid w:val="6DEC4694"/>
    <w:rsid w:val="7B031F6E"/>
    <w:rsid w:val="7FCC6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Style52"/>
    <w:basedOn w:val="1"/>
    <w:qFormat/>
    <w:uiPriority w:val="0"/>
    <w:pPr>
      <w:adjustRightInd w:val="0"/>
      <w:jc w:val="left"/>
    </w:pPr>
    <w:rPr>
      <w:rFonts w:ascii="黑体" w:hAnsi="Times New Roman" w:eastAsia="黑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2020-09-03T06:41:31Z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