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683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68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 销售部             主管领导：</w:t>
            </w:r>
            <w:r>
              <w:rPr>
                <w:rFonts w:hint="eastAsia"/>
                <w:sz w:val="24"/>
                <w:szCs w:val="24"/>
                <w:lang w:eastAsia="zh-CN"/>
              </w:rPr>
              <w:t>杜文霞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bookmarkStart w:id="0" w:name="_GoBack"/>
            <w:bookmarkEnd w:id="0"/>
          </w:p>
        </w:tc>
        <w:tc>
          <w:tcPr>
            <w:tcW w:w="90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83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王志慧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（见证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、李雅静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(被见证E)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 审核时间：20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年0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月0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68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E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O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6.1.2/6.1.3/6.1.4/9.1.2；</w:t>
            </w:r>
          </w:p>
        </w:tc>
        <w:tc>
          <w:tcPr>
            <w:tcW w:w="90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 w:ascii="宋体" w:hAnsi="宋体" w:cs="宋体"/>
                <w:szCs w:val="21"/>
              </w:rPr>
              <w:t>环境因素危险源辩识及措施的策划</w:t>
            </w:r>
          </w:p>
        </w:tc>
        <w:tc>
          <w:tcPr>
            <w:tcW w:w="960" w:type="dxa"/>
          </w:tcPr>
          <w:p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E</w:t>
            </w:r>
            <w:r>
              <w:rPr>
                <w:rFonts w:ascii="宋体" w:hAnsi="宋体" w:cs="宋体"/>
                <w:b/>
                <w:szCs w:val="21"/>
              </w:rPr>
              <w:t>/O</w: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szCs w:val="21"/>
              </w:rPr>
              <w:t>6.1.2</w:t>
            </w:r>
          </w:p>
          <w:p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6.1.4</w:t>
            </w:r>
          </w:p>
          <w:p/>
        </w:tc>
        <w:tc>
          <w:tcPr>
            <w:tcW w:w="10683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总经理介绍，公司制定了 《环境因素识别与评价控制程序》、《危险源辨识与风险评价管理程序》，， 规定了环境因素和危险源识别和评价的有关要求，具有一定的可操作性。程序中也明确了有关环境因素和危险源的更新的要求。由销售部负责本部门环境因素和危险源的识别和评价。辨识的结果汇总后在内部沟通。</w:t>
            </w: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/>
              </w:rPr>
              <w:t>提供了《环境因素识别及风险评价一览表》，识别了办公活动中的环境因素，包含：废弃灯管有毒有害物质排放、电能的消耗、水资源的消耗、库房易燃品火灾、空调氟的泄漏、纸张的消耗、废旧电池排放、水资源消耗、有害物质的超量排放等环境因素。评价方法采用多因子评价法，提供了《重要环境因素及危险源清单》，共评价出重要环境因素2项，即潜在火灾和固体废弃物的处置，重要危险源两项：火灾及触电。可能发生的区域-办公区、仓库；可能造成的环境影响-大气污染、土壤污染；控制措施--用电设施设备定期进行检修，配置消防器材，并对员工进行培训消防意识。并制定火灾应急预案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对于重要环境因素和重要危险源，制定了相应的控制方法/目标/指标，针对上述目标和指标制定了管理方案，加以控制。例如：</w:t>
            </w:r>
          </w:p>
          <w:p>
            <w:pPr>
              <w:spacing w:line="400" w:lineRule="exact"/>
              <w:ind w:left="420" w:left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1、定期进行消防设施的点检，火灾隐患排查。</w:t>
            </w:r>
          </w:p>
          <w:p>
            <w:pPr>
              <w:spacing w:line="400" w:lineRule="exact"/>
              <w:ind w:left="420" w:left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2、定期实施应急演习，提高员工的应急能力。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环境、职业健康安全管理目标：固体废弃物分类管理处置率100%，火灾事故为0。</w:t>
            </w:r>
          </w:p>
          <w:p>
            <w:r>
              <w:rPr>
                <w:rFonts w:hint="eastAsia"/>
              </w:rPr>
              <w:t>基本适宜。</w:t>
            </w:r>
          </w:p>
        </w:tc>
        <w:tc>
          <w:tcPr>
            <w:tcW w:w="90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合规义务及评价</w:t>
            </w:r>
          </w:p>
        </w:tc>
        <w:tc>
          <w:tcPr>
            <w:tcW w:w="960" w:type="dxa"/>
          </w:tcPr>
          <w:p>
            <w:pPr>
              <w:spacing w:line="4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E</w:t>
            </w:r>
            <w:r>
              <w:rPr>
                <w:rFonts w:ascii="宋体" w:hAnsi="宋体" w:cs="宋体"/>
                <w:b/>
                <w:szCs w:val="21"/>
              </w:rPr>
              <w:t>/O 6.1.3</w:t>
            </w:r>
          </w:p>
          <w:p>
            <w:pPr>
              <w:pStyle w:val="11"/>
            </w:pPr>
            <w:r>
              <w:t>9.1.2</w:t>
            </w:r>
          </w:p>
          <w:p/>
        </w:tc>
        <w:tc>
          <w:tcPr>
            <w:tcW w:w="10683" w:type="dxa"/>
          </w:tcPr>
          <w:p>
            <w:pPr>
              <w:spacing w:line="400" w:lineRule="exact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提供环境及职业健康安全法律法规合规性评价报告，定期更新相关法律法规，频次每年/一次，特殊情况除外，</w:t>
            </w:r>
            <w:r>
              <w:rPr>
                <w:rFonts w:ascii="宋体" w:hAnsi="宋体"/>
                <w:szCs w:val="21"/>
              </w:rPr>
              <w:t>2020.4.10</w:t>
            </w:r>
            <w:r>
              <w:rPr>
                <w:rFonts w:hint="eastAsia" w:ascii="宋体" w:hAnsi="宋体"/>
                <w:szCs w:val="21"/>
              </w:rPr>
              <w:t>实施合规性评价，评价结论：公司现有状况符合相关的法律法规及其他要求的规定，没有发现有违规的情况。</w:t>
            </w:r>
          </w:p>
          <w:p>
            <w:pPr>
              <w:pStyle w:val="11"/>
            </w:pPr>
            <w:r>
              <w:rPr>
                <w:rFonts w:hint="eastAsia"/>
              </w:rPr>
              <w:t>依据收集的环境、职业健康安全法律法规及其他要求的清单。</w:t>
            </w:r>
            <w:r>
              <w:t>2020.3.10</w:t>
            </w:r>
            <w:r>
              <w:rPr>
                <w:rFonts w:hint="eastAsia"/>
              </w:rPr>
              <w:t>建立。收集方式为网上下载等。职业健康安全法律法规涉及3</w:t>
            </w:r>
            <w:r>
              <w:t>0</w:t>
            </w:r>
            <w:r>
              <w:rPr>
                <w:rFonts w:hint="eastAsia"/>
              </w:rPr>
              <w:t>项，环境法律法规涉及3</w:t>
            </w:r>
            <w:r>
              <w:t>0</w:t>
            </w:r>
            <w:r>
              <w:rPr>
                <w:rFonts w:hint="eastAsia"/>
              </w:rPr>
              <w:t>项。</w:t>
            </w:r>
          </w:p>
          <w:p>
            <w:pPr>
              <w:spacing w:line="400" w:lineRule="exact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查是否对主要涉及的法律法规实施了合规性评价，如；</w:t>
            </w:r>
          </w:p>
          <w:p>
            <w:pPr>
              <w:pStyle w:val="11"/>
            </w:pPr>
            <w:r>
              <w:rPr>
                <w:rFonts w:hint="eastAsia"/>
              </w:rPr>
              <w:t>城市生活垃圾管理办法；中华人民共和国固体废物污染环境防治法；中华人民共和国节约能源法；中华人民共和国劳动合同法；中华人民共和国消防法等，评价结论均为符合。</w:t>
            </w:r>
          </w:p>
          <w:p>
            <w:pPr>
              <w:pStyle w:val="11"/>
              <w:ind w:firstLine="46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90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A21"/>
    <w:rsid w:val="002E7A21"/>
    <w:rsid w:val="00397AC2"/>
    <w:rsid w:val="00CF2AE6"/>
    <w:rsid w:val="03513EB5"/>
    <w:rsid w:val="3FCC3360"/>
    <w:rsid w:val="5E44652F"/>
    <w:rsid w:val="7F430E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 w:line="259" w:lineRule="auto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950</Characters>
  <Lines>7</Lines>
  <Paragraphs>2</Paragraphs>
  <TotalTime>0</TotalTime>
  <ScaleCrop>false</ScaleCrop>
  <LinksUpToDate>false</LinksUpToDate>
  <CharactersWithSpaces>1114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Joyce</cp:lastModifiedBy>
  <dcterms:modified xsi:type="dcterms:W3CDTF">2020-09-09T10:34:05Z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