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71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条款</w:t>
            </w:r>
          </w:p>
        </w:tc>
        <w:tc>
          <w:tcPr>
            <w:tcW w:w="1077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受审核部门：综合部         主管领导：刘辉      陪同人员：王彦芬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771" w:type="dxa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审核员：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王志慧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（见证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、李雅静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(被见证E)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审核时间：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20</w:t>
            </w:r>
            <w:r>
              <w:rPr>
                <w:rFonts w:cs="宋体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年0</w:t>
            </w:r>
            <w:r>
              <w:rPr>
                <w:rFonts w:cs="宋体"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月0</w:t>
            </w:r>
            <w:r>
              <w:rPr>
                <w:rFonts w:cs="宋体"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8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77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审核条款：E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/O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6.2.2/7.5/8.2；</w:t>
            </w:r>
          </w:p>
        </w:tc>
        <w:tc>
          <w:tcPr>
            <w:tcW w:w="8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目标及其实现的策划总要求</w:t>
            </w:r>
          </w:p>
          <w:p/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kern w:val="0"/>
                <w:szCs w:val="21"/>
              </w:rPr>
              <w:t xml:space="preserve">/O </w:t>
            </w:r>
            <w:r>
              <w:rPr>
                <w:rFonts w:hint="eastAsia" w:ascii="宋体" w:hAnsi="宋体" w:cs="宋体"/>
                <w:kern w:val="0"/>
                <w:szCs w:val="21"/>
              </w:rPr>
              <w:t>6.2</w:t>
            </w:r>
          </w:p>
          <w:p/>
        </w:tc>
        <w:tc>
          <w:tcPr>
            <w:tcW w:w="10771" w:type="dxa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查到本部门分解环境、职业健康安全目标及达成情况：</w:t>
            </w:r>
          </w:p>
          <w:p>
            <w:pPr>
              <w:pStyle w:val="11"/>
              <w:spacing w:line="24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项目/目标指标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考核方式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考核结果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</w:p>
          <w:p>
            <w:pPr>
              <w:pStyle w:val="11"/>
              <w:spacing w:line="24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固体废弃物分类管理处置率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危险废弃物（墨盒）危险废弃物（墨盒）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100%</w:t>
            </w:r>
          </w:p>
          <w:p>
            <w:pPr>
              <w:pStyle w:val="11"/>
              <w:spacing w:line="24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火灾、爆炸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查看火灾、爆炸发生记录                   0</w:t>
            </w:r>
          </w:p>
          <w:p>
            <w:pPr>
              <w:pStyle w:val="11"/>
              <w:spacing w:line="24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查看记录                                100%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综上，目标均可量化可测量，综合部管理目标均已完成。 制定了相应管理方案，内容涉及：方法措施、执行部门、负责人、预算、完成日期等。抽查：火灾发生率为0。方法措施：定期检查电器设备，发现问题及时反馈，成立应急预案小组，对发生火灾及时处理，详见“火灾应急预案”；防止意外伤害，加强培训不断提高安全意识。执行部门：各部门、 完成日期：持续执行。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环境、职业健康安全管理方案已正常实施开展并经过监督检查，未发现异常。</w:t>
            </w:r>
          </w:p>
        </w:tc>
        <w:tc>
          <w:tcPr>
            <w:tcW w:w="81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/O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771" w:type="dxa"/>
            <w:vAlign w:val="center"/>
          </w:tcPr>
          <w:p>
            <w:pPr>
              <w:ind w:firstLine="422" w:firstLineChars="200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查见管理手册、程序文件等文件，编制-综合部、审核-申国昌、批准-赵忠明、20</w:t>
            </w:r>
            <w: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.1</w:t>
            </w:r>
            <w: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发布并实施。</w:t>
            </w:r>
            <w:r>
              <w:rPr>
                <w:rFonts w:hint="eastAsia"/>
                <w:szCs w:val="21"/>
              </w:rPr>
              <w:t>查文件编审批手续齐全、文件清晰、编号符合文件控制程序要求。查行政部文件，都有受控标识，有效版本。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的管理手册及相关体系文件系统的描述了公司整个管理体系，内容包括：管理体系覆盖的生产、销售服务过程的部门和场所等。描述了管理体系中各个过程的相互作用关系。公司对整个体系进行了策划。形成了文件化的管理手册、程序文件、三级管理文件以及所要求的记录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公司编制的程序文件符合标准要求的所有程序文件，第三层次文件对体系及其相互关系在手册中做了描述，记录表单满足公司目前的质量体系运行的需要。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二级文件：公司编制了程序文件，包括环境标准要求的所有程序。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三层次文件：制度和作业指导书，外来文件：包括产品国家标准，环境及运行记录，满足公司目前的管理体系运行的需要。体系文件基本能保证有效性和效率的要求。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查公司按照文审要求对管理手册进行了修改，符合要求。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公司编制并实施了《文件管理程序》，文件包括：手册、体系程序文件及管理制度等。</w:t>
            </w:r>
          </w:p>
          <w:p>
            <w:pPr>
              <w:snapToGrid w:val="0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无企业标准。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外来文件：与产品要求和环境管理体系运行有关的国家法律法规、标准等；行业、地方颁布的条例、标准、规范、规程、办法等，查外来文件具体有产品国家标准、环境管理体系标准、职业健康安全管理体系标准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查文件发放：行政部20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下发了Q</w:t>
            </w:r>
            <w:r>
              <w:rPr>
                <w:szCs w:val="21"/>
              </w:rPr>
              <w:t>EO</w:t>
            </w:r>
            <w:r>
              <w:rPr>
                <w:rFonts w:hint="eastAsia"/>
                <w:szCs w:val="21"/>
              </w:rPr>
              <w:t>管理手册、程序文件等文件。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查行政部文件有标识，检索方便，文件夹存放于文件柜内，防护符合要求。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公司按《记录管理程序》实施对管理体系记录的标识、贮存、保护、检索、保存期限和处置等按规定实施。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公司提供《记录清单》—有内审报告、供方评价表、危险源清单、环境因素清单、管理评审报告等记录。明确了记录名称、编号、使用保存部门、保存期限等，并经审核后使用。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公司各种记录由各使用部门保存，查阅行政部保存的记录环境情况，归档文件、记录存放于通风、干燥的文件柜内，环境干燥、通风，符合文件归档的要求。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抽查归档文件整理情况，行政部已将文件进行了分类，按记录的名称、编号及时间装文件袋进行归档，记录清洁，字迹清晰，检索方便，抽查有内部审核资料、管理评审资料等，均已装订成册。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原件记录原则上不外借，其它记录查阅须有关部门同意后，方可查阅。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提供了作废文件记录：有作废理由、作废日期及申请部门、审核人签字。记录控制基本有效。</w:t>
            </w:r>
          </w:p>
        </w:tc>
        <w:tc>
          <w:tcPr>
            <w:tcW w:w="81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/O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8.2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71" w:type="dxa"/>
            <w:vAlign w:val="center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公司编制了《应急准备和响应控制程序》，查看内容基本符合要求。策划了应急预案包括火灾、触电等应急预案。查应急预案评估报告，通过以上评估，公司应急预案的制定基本合理。</w:t>
            </w:r>
          </w:p>
          <w:p>
            <w:pPr>
              <w:pStyle w:val="12"/>
              <w:spacing w:line="360" w:lineRule="auto"/>
              <w:ind w:firstLineChars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参加了公司组织全体员工的消防演练2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020.04.24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，触电应急演习2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020.07.29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，相关员工均接受过培训，知晓灭火器使用和各种火情的灭火方法及基本的应急救援知识。 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抽查《应急准备和响应控制程序》，包括 ：应急演练目的、演练适用范围、总体思想和原则、应急小组联系人电话等。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演习期间财务为消防演练提供了物资资金支持：包括干粉灭火器4台，二氧化碳灭火器2台；毛巾、安全帽等。</w:t>
            </w:r>
          </w:p>
          <w:p>
            <w:pPr>
              <w:pStyle w:val="12"/>
              <w:spacing w:line="360" w:lineRule="auto"/>
              <w:ind w:firstLineChars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经审核询问相关人员以上措施均的真实性及有效性。能够清楚回答整个演习的基本流程及应急过程主要的措施。</w:t>
            </w:r>
          </w:p>
        </w:tc>
        <w:tc>
          <w:tcPr>
            <w:tcW w:w="81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934"/>
    <w:rsid w:val="006D0934"/>
    <w:rsid w:val="00EB74F4"/>
    <w:rsid w:val="00FB066A"/>
    <w:rsid w:val="0FC70D8A"/>
    <w:rsid w:val="14CE10B8"/>
    <w:rsid w:val="4C405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 w:line="259" w:lineRule="auto"/>
    </w:pPr>
    <w:rPr>
      <w:bCs/>
      <w:spacing w:val="10"/>
    </w:rPr>
  </w:style>
  <w:style w:type="paragraph" w:customStyle="1" w:styleId="12">
    <w:name w:val="_Style 2"/>
    <w:basedOn w:val="1"/>
    <w:qFormat/>
    <w:uiPriority w:val="34"/>
    <w:pPr>
      <w:spacing w:after="160" w:line="259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297</Words>
  <Characters>1693</Characters>
  <Lines>14</Lines>
  <Paragraphs>3</Paragraphs>
  <TotalTime>0</TotalTime>
  <ScaleCrop>false</ScaleCrop>
  <LinksUpToDate>false</LinksUpToDate>
  <CharactersWithSpaces>1987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2020-09-09T10:31:02Z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