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4" w:name="组织名称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北京昊宇宏达科技发展有限公司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5" w:name="专业代码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夏爱俭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王旭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客户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沟通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----合同评审----签订合同-----客户付款------入帐------采购-----客户提货-----验收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客户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沟通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----合同评审----签订合同-----客户付款------入帐------采购-----客户提货-----验收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需确认过程：销售服务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有确认记录，见Q8.5.1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外包过程：货物运输  见物流协议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制定目标，目标基本合理、可测量、可达到。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策划所需资源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1、其中主要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办公设施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电子计算机、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电话、传真机、电脑、打印机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等，能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需求；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2、确定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胜任人员需求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，经过培训、考核合格后上岗；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确定了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销售过程检验规范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4、编制了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销售管理制度、售后服务管理制度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遵照岗位职责、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流程、管理制度等作业指导文件实施过程控制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策划结果满足产品实现要求。暂无质量计划。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运行的策划符合要求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新冠疫情、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火灾、触电，评价基本准确。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instrText xml:space="preserve"> HYPERLINK "http://www.bzxzk.net/hybz/06022012/97927.html" \t "http://www.bzxzk.net/e/search/result/_blank"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GJB1649-1993 电子产品防静电放电控制大纲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instrText xml:space="preserve"> HYPERLINK "http://www.bzxzk.net/gjbz/06122016/142226.html" \t "http://www.bzxzk.net/e/search/result/_blank"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GB/T8567-2006-计算机软件文档编制规范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GB T 20733-2006 数码照相机 术语 标准、IP摄像头等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标准相关内容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管理体系规范及使用指南、环境保护法、大气污染防法、大气污染物综合排放标准、水污染防治法、固体废物污染环境防治法、环境噪声污染防治法、水法、安全生产法、节约能源法、消防法、污水综合排放标准、工业企业厂界噪声标准及测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量方法、水污染防治法实施细则、GB8978污水综合排放标准、GB16297大气污染物综合排放标准、恶臭污染物排放标准、城市生活垃圾管理办法；中华人民共和国固体废物污染环境防治法；中华人民共和国节约能源法；中华人民共和国劳动合同法；中华人民共和国消防法等，评价结论均为符合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基本符合要求。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sz w:val="20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sz w:val="20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2020年9月9日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947155"/>
    <w:rsid w:val="149C4EAC"/>
    <w:rsid w:val="15630661"/>
    <w:rsid w:val="3E346E5A"/>
    <w:rsid w:val="4FAA79C7"/>
    <w:rsid w:val="52F00410"/>
    <w:rsid w:val="5FC67037"/>
    <w:rsid w:val="635F44AE"/>
    <w:rsid w:val="658C5625"/>
    <w:rsid w:val="6AFB2D25"/>
    <w:rsid w:val="6BD160F5"/>
    <w:rsid w:val="6CF615C5"/>
    <w:rsid w:val="71771E0A"/>
    <w:rsid w:val="71B65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2020-09-12T13:24:53Z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