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49"/>
        <w:gridCol w:w="1110"/>
        <w:gridCol w:w="567"/>
        <w:gridCol w:w="447"/>
        <w:gridCol w:w="971"/>
        <w:gridCol w:w="425"/>
        <w:gridCol w:w="425"/>
        <w:gridCol w:w="20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重庆伯仲物流有限公司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0468-2020-QEO</w:t>
            </w:r>
            <w:bookmarkEnd w:id="1"/>
          </w:p>
        </w:tc>
        <w:tc>
          <w:tcPr>
            <w:tcW w:w="11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刘安辉</w:t>
            </w:r>
            <w:bookmarkEnd w:id="5"/>
          </w:p>
        </w:tc>
        <w:tc>
          <w:tcPr>
            <w:tcW w:w="11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023-65508979</w:t>
            </w:r>
            <w:bookmarkEnd w:id="6"/>
          </w:p>
        </w:tc>
        <w:tc>
          <w:tcPr>
            <w:tcW w:w="139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42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刘安辉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1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9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Q：许可范围内的普通货运</w:t>
            </w:r>
          </w:p>
          <w:p>
            <w:r>
              <w:t>E：许可范围内的普通货运所涉及的相关环境管理活动</w:t>
            </w:r>
          </w:p>
          <w:p>
            <w:r>
              <w:t>O：许可范围内的普通货运所涉及的相关职业健康安全管理活动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Q：31.04.01</w:t>
            </w:r>
          </w:p>
          <w:p>
            <w:r>
              <w:t>E：31.04.01</w:t>
            </w:r>
          </w:p>
          <w:p>
            <w:r>
              <w:t>O：31.04.01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2020年09月03日 上午至2020年09月03日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  <w:r>
        <w:rPr>
          <w:rFonts w:hint="eastAsia" w:eastAsia="隶书"/>
          <w:sz w:val="30"/>
          <w:szCs w:val="30"/>
          <w:lang w:val="en-US" w:eastAsia="zh-CN"/>
        </w:rPr>
        <w:t>附表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、冉景洲、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b/>
                <w:sz w:val="20"/>
                <w:lang w:eastAsia="zh-CN"/>
              </w:rPr>
              <w:t>午休时间</w:t>
            </w:r>
            <w:r>
              <w:rPr>
                <w:rFonts w:hint="eastAsia"/>
                <w:b/>
                <w:sz w:val="20"/>
                <w:lang w:val="en-US" w:eastAsia="zh-CN"/>
              </w:rPr>
              <w:t>12：00--13:00）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、冉景洲、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</w:tbl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47454"/>
    <w:rsid w:val="54F04763"/>
    <w:rsid w:val="7E6A6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2020-09-02T02:58:08Z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