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0088-2017-2020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江苏省镔鑫钢铁集团有限公司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安全环保部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全环保部，没有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按照外部供方管理要求，对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服务方“江苏恒正检测技术有限公司”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的检测</w:t>
            </w:r>
            <w:r>
              <w:rPr>
                <w:rFonts w:hint="eastAsia" w:ascii="宋体"/>
              </w:rPr>
              <w:t>能力</w:t>
            </w:r>
            <w:r>
              <w:rPr>
                <w:rFonts w:hint="eastAsia" w:ascii="宋体"/>
                <w:lang w:eastAsia="zh-CN"/>
              </w:rPr>
              <w:t>、服务质量</w:t>
            </w:r>
            <w:r>
              <w:rPr>
                <w:rFonts w:hint="eastAsia" w:ascii="宋体"/>
              </w:rPr>
              <w:t>进行评价</w:t>
            </w:r>
            <w:r>
              <w:rPr>
                <w:rFonts w:hint="eastAsia" w:ascii="宋体"/>
                <w:lang w:eastAsia="zh-CN"/>
              </w:rPr>
              <w:t>，并记录保存评价结果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6.4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E4940"/>
    <w:rsid w:val="1DB6565C"/>
    <w:rsid w:val="5495764F"/>
    <w:rsid w:val="5D1B4D88"/>
    <w:rsid w:val="661F5C11"/>
    <w:rsid w:val="7DAC6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2020-09-15T09:48:41Z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