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80505" cy="9305290"/>
            <wp:effectExtent l="0" t="0" r="10795" b="3810"/>
            <wp:docPr id="2" name="图片 2" descr="Page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age0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930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17"/>
        <w:gridCol w:w="325"/>
        <w:gridCol w:w="75"/>
        <w:gridCol w:w="101"/>
        <w:gridCol w:w="589"/>
        <w:gridCol w:w="261"/>
        <w:gridCol w:w="349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邢台市亿阳科技开发有限公司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邢台市桥西区郭守敬北路386号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闫新宇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0319-2210770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054000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xtyiyang@126.com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0465-2020-Q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计算机系统集成、安防信息系统集成及电子产品、办公用品的销售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29.12.00;33.02.02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2020年09月16日 上午至2020年09月16日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8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18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29.12.00,33.02.02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18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78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45"/>
        <w:gridCol w:w="62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2020.9.16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部：组织的岗位、职责权限；目标；产品和服务要求；生产和服务提供的控制；顾客或外部供方财产；交付后的活动；产品和服务的放行；顾客满意度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5.3/6.2/8.1/8.2/8.5.1/8.5.3/8.5.5/8.6/9.1.2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：组织的岗位、职责权限；目标；组织知识；人员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能力；意识；沟通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文件化信息；外部提供的过程、产品和服务的控制；内部审核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/>
                <w:color w:val="auto"/>
                <w:sz w:val="21"/>
                <w:szCs w:val="21"/>
              </w:rPr>
              <w:t>；不合格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7.1.6/</w:t>
            </w:r>
            <w:r>
              <w:rPr>
                <w:rFonts w:hint="eastAsia"/>
                <w:color w:val="auto"/>
                <w:sz w:val="21"/>
                <w:szCs w:val="21"/>
              </w:rPr>
              <w:t>7.2/7.3/7.4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/7.5/8.4/9.1.3/9.2/10.2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10:00-16:30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技术服务</w:t>
            </w:r>
            <w:r>
              <w:rPr>
                <w:rFonts w:hint="eastAsia"/>
                <w:color w:val="auto"/>
                <w:sz w:val="21"/>
                <w:szCs w:val="21"/>
              </w:rPr>
              <w:t>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/项目现场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：组织的岗位、职责权限；目标；基础设施；运行环境；监视和测量资源；运行的策划和控制；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color w:val="auto"/>
                <w:sz w:val="21"/>
                <w:szCs w:val="21"/>
              </w:rPr>
              <w:t>生产和服务提供的控制；标识和可追溯性；产品防护；变更的控制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项目现场距离公司总部5公里，往返30分钟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5.3/6.2/7.1.3/7.1.4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/7.1.5/8.1/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/8.5.1/8.5.2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/8.5.4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8.5.6/8.6/8.7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午休时间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3D4F66"/>
    <w:rsid w:val="50437C98"/>
    <w:rsid w:val="5A2D6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36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2020-09-16T03:28:01Z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