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88735" cy="9107170"/>
            <wp:effectExtent l="0" t="0" r="12065" b="11430"/>
            <wp:docPr id="2" name="图片 2" descr="新文档 2020-09-13 16.04.2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9-13 16.04.21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1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河北利安体育用品有限公司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="宋体" w:hAnsi="宋体"/>
                <w:szCs w:val="21"/>
              </w:rPr>
              <w:t>定州市庞村镇西坂村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安会宾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13930126586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安会宾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0113-2019-QEO-2020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职业健康安全体系标准转换</w:t>
            </w:r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</w:t>
            </w:r>
            <w:bookmarkStart w:id="18" w:name="_GoBack"/>
            <w:r>
              <w:rPr>
                <w:sz w:val="20"/>
              </w:rPr>
              <w:t>体育器材、健身器材、军警体能训练器材、体能测试器材、运动防护用具、塑胶场地、场地围网、音乐器材、美术器材、教学仪器、课桌椅、床、文件柜、实验室设备、劳动技能器材、帐篷、多媒体设备、非电动游乐设备</w:t>
            </w:r>
            <w:bookmarkEnd w:id="18"/>
            <w:r>
              <w:rPr>
                <w:sz w:val="20"/>
              </w:rPr>
              <w:t>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E：体育器材、健身器材、军警体能训练器材、体能测试器材、运动防护用具、塑胶场地、场地围网、音乐器材、美术器材、教学仪器、课桌椅、床、文件柜、实验室设备、劳动技能器材、帐篷、多媒体设备、非电动游乐设备的销售所涉及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O：体育器材、健身器材、军警体能训练器材、体能测试器材、运动防护用具、塑胶场地、场地围网、音乐器材、美术器材、教学仪器、课桌椅、床、文件柜、实验室设备、劳动技能器材、帐篷、多媒体设备、非电动游乐设备的销售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98" w:firstLineChars="49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受审核方管理体系文件  ■适用的法律法规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201" w:firstLineChars="100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2020年09月11日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2020年09月12日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吉洁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2020.9.11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Q5.3/6.2/8.4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2020.9.11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Q5.3/6.2/7.1.3/7.1.4/7.1.5/8.1/8.2/8.3/8.5/8.6/8.7/9.1.2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2020.9.12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ISC-22240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B5760E"/>
    <w:rsid w:val="5B784398"/>
    <w:rsid w:val="6A4E6502"/>
    <w:rsid w:val="6A7F4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2020-09-17T06:41:36Z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