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0470-2020-QEO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河北卫民电力设备制造有限公司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Weimin Electric Power Equipment Manufacturing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河北省保定市高阳县庞家佐乡刘家连城村村委会东行500米</w:t>
      </w:r>
      <w:bookmarkEnd w:id="3"/>
      <w:r>
        <w:rPr>
          <w:rFonts w:hint="eastAsia"/>
          <w:b w:val="0"/>
          <w:bCs/>
          <w:color w:val="000000" w:themeColor="text1"/>
          <w:sz w:val="22"/>
          <w:szCs w:val="22"/>
        </w:rPr>
        <w:t xml:space="preserve"> 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071500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(英文)：500m to the east of the village committee of Liujia Liancheng village, pangjiazuo Township, Gaoyang County, Baoding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河北省保定市高阳县庞家佐乡刘家连城村</w:t>
      </w:r>
      <w:bookmarkEnd w:id="5"/>
      <w:r>
        <w:rPr>
          <w:rFonts w:hint="eastAsia"/>
          <w:b w:val="0"/>
          <w:bCs/>
          <w:color w:val="000000" w:themeColor="text1"/>
          <w:sz w:val="22"/>
          <w:szCs w:val="22"/>
        </w:rPr>
        <w:t xml:space="preserve"> 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071500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(英文)：Liujia Liancheng village, pangjiazuo Township, Gaoyang County, Baoding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91130628MA0EDRWLX6</w:t>
      </w:r>
      <w:bookmarkEnd w:id="7"/>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15632298666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刘聚兴</w:t>
      </w:r>
      <w:bookmarkEnd w:id="10"/>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张亚宁</w:t>
      </w:r>
      <w:bookmarkEnd w:id="11"/>
      <w:r>
        <w:rPr>
          <w:rFonts w:hint="eastAsia"/>
          <w:b w:val="0"/>
          <w:bCs/>
          <w:color w:val="000000" w:themeColor="text1"/>
          <w:sz w:val="22"/>
          <w:szCs w:val="22"/>
        </w:rPr>
        <w:t xml:space="preserve"> </w:t>
      </w:r>
      <w:r>
        <w:rPr>
          <w:b w:val="0"/>
          <w:bCs/>
          <w:color w:val="000000" w:themeColor="text1"/>
          <w:sz w:val="22"/>
          <w:szCs w:val="22"/>
        </w:rPr>
        <w:t xml:space="preserve"> </w:t>
      </w:r>
      <w:r>
        <w:rPr>
          <w:rFonts w:hint="eastAsia"/>
          <w:b w:val="0"/>
          <w:bCs/>
          <w:color w:val="000000" w:themeColor="text1"/>
          <w:sz w:val="22"/>
          <w:szCs w:val="22"/>
        </w:rPr>
        <w:t xml:space="preserve">组织人数： </w:t>
      </w:r>
      <w:bookmarkStart w:id="12" w:name="企业人数"/>
      <w:r>
        <w:rPr>
          <w:b w:val="0"/>
          <w:bCs/>
          <w:color w:val="000000" w:themeColor="text1"/>
          <w:sz w:val="22"/>
          <w:szCs w:val="22"/>
        </w:rPr>
        <w:t>40</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电力安全工器具（防鸟罩、驱鸟器、防鸟刺、标识牌、登杆脚扣、绝缘硬梯、拉闸杆、接地线、验电器、绝缘护罩）、电力金具、铁附件（横担、抱箍、拉线棒）、复合绝缘横担、高压隔离开关、拉紧绝缘子、合成绝缘子，避雷器，高压跌落式熔断器的生产和销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英文：Production and sales of power safety tools and appliances (Bird proof cover, bird repeller, bird thorn proof, sign board, pole foot buckle, insulated hard ladder, pull brake rod, grounding wire, electroscope, insulation shield), power fittings, iron accessories (cross arm, hoop, pull rod), composite insulating cross arm, high-voltage isolating switch, tension insulator, composite insulator, lightning arrester, high-voltage drop fuse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E：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环境管理活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b w:val="0"/>
          <w:bCs/>
          <w:sz w:val="24"/>
          <w:szCs w:val="24"/>
        </w:rPr>
        <w:t>The Relative Environment Management Activities about</w:t>
      </w:r>
      <w:r>
        <w:rPr>
          <w:rFonts w:hint="eastAsia"/>
          <w:b w:val="0"/>
          <w:bCs/>
          <w:sz w:val="24"/>
          <w:szCs w:val="24"/>
          <w:lang w:val="en-US" w:eastAsia="zh-CN"/>
        </w:rPr>
        <w:t xml:space="preserve"> </w:t>
      </w:r>
      <w:r>
        <w:rPr>
          <w:rFonts w:hint="eastAsia"/>
          <w:b w:val="0"/>
          <w:bCs/>
          <w:color w:val="000000" w:themeColor="text1"/>
          <w:sz w:val="22"/>
          <w:szCs w:val="22"/>
          <w:lang w:val="en-US" w:eastAsia="zh-CN"/>
        </w:rPr>
        <w:t>Production and sales of power safety tools and appliances (Bird proof cover, bird repeller, bird thorn proof, sign board, pole foot buckle, insulated hard ladder, pull brake rod, grounding wire, electroscope, insulation shield), power fittings, iron accessories (cross arm, hoop, pull rod), composite insulating cross arm, high-voltage isolating switch, tension insulator, composite insulator, lightning arrester, high-voltage drop fuse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r>
        <w:rPr>
          <w:rFonts w:hint="eastAsia"/>
          <w:b w:val="0"/>
          <w:bCs/>
          <w:color w:val="000000" w:themeColor="text1"/>
          <w:sz w:val="22"/>
          <w:szCs w:val="22"/>
        </w:rPr>
        <w:t>O：电力安全工器具（防鸟罩、驱鸟器、防鸟刺、标识牌、登杆脚扣、绝缘硬梯、拉闸杆、接地线、验电器、绝缘护罩）、电力金具、铁附件（横担、抱箍、拉线棒）、复合绝缘横担、高压隔离开关、拉紧绝缘子、合成绝缘子，避雷器，高压跌落式熔断器的生产和销售及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b w:val="0"/>
          <w:bCs/>
          <w:sz w:val="24"/>
          <w:szCs w:val="24"/>
        </w:rPr>
        <w:t>The Relative Occupational Health Safety Management Activities about</w:t>
      </w:r>
      <w:r>
        <w:rPr>
          <w:rFonts w:hint="eastAsia"/>
          <w:b w:val="0"/>
          <w:bCs/>
          <w:sz w:val="24"/>
          <w:szCs w:val="24"/>
          <w:lang w:val="en-US" w:eastAsia="zh-CN"/>
        </w:rPr>
        <w:t xml:space="preserve"> </w:t>
      </w:r>
      <w:r>
        <w:rPr>
          <w:rFonts w:hint="eastAsia"/>
          <w:b w:val="0"/>
          <w:bCs/>
          <w:color w:val="000000" w:themeColor="text1"/>
          <w:sz w:val="22"/>
          <w:szCs w:val="22"/>
          <w:lang w:val="en-US" w:eastAsia="zh-CN"/>
        </w:rPr>
        <w:t>Production and sales of power safety tools and appliances (Bird proof cover, bird repeller, bird thorn proof, sign board, pole foot buckle, insulated hard ladder, pull brake rod, grounding wire, electroscope, insulation shield), power fittings, iron accessories (cross arm, hoop, pull rod), composite insulating cross arm, high-voltage isolating switch, tension insulator, composite insulator, lightning arrester, high-voltage drop fuse</w:t>
      </w:r>
    </w:p>
    <w:p>
      <w:pPr>
        <w:pStyle w:val="2"/>
        <w:spacing w:line="360" w:lineRule="exact"/>
        <w:ind w:firstLine="0"/>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4149090</wp:posOffset>
            </wp:positionH>
            <wp:positionV relativeFrom="paragraph">
              <wp:posOffset>212725</wp:posOffset>
            </wp:positionV>
            <wp:extent cx="1155065" cy="556260"/>
            <wp:effectExtent l="0" t="0" r="0" b="1905"/>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155065" cy="556260"/>
                    </a:xfrm>
                    <a:prstGeom prst="rect">
                      <a:avLst/>
                    </a:prstGeom>
                  </pic:spPr>
                </pic:pic>
              </a:graphicData>
            </a:graphic>
          </wp:anchor>
        </w:drawing>
      </w: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2020.9.8                                        </w:t>
      </w:r>
      <w:r>
        <w:rPr>
          <w:rFonts w:hint="eastAsia"/>
          <w:b/>
          <w:color w:val="000000" w:themeColor="text1"/>
          <w:sz w:val="22"/>
          <w:szCs w:val="22"/>
        </w:rPr>
        <w:t>日期：</w:t>
      </w:r>
      <w:r>
        <w:rPr>
          <w:rFonts w:hint="eastAsia"/>
          <w:b/>
          <w:color w:val="000000" w:themeColor="text1"/>
          <w:sz w:val="22"/>
          <w:szCs w:val="22"/>
          <w:lang w:val="en-US" w:eastAsia="zh-CN"/>
        </w:rPr>
        <w:t>2020.9.8</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b/>
          <w:color w:val="000000" w:themeColor="text1"/>
          <w:sz w:val="18"/>
          <w:szCs w:val="18"/>
        </w:rPr>
      </w:pPr>
    </w:p>
    <w:p>
      <w:pPr>
        <w:pStyle w:val="2"/>
        <w:numPr>
          <w:numId w:val="0"/>
        </w:numPr>
        <w:spacing w:line="0" w:lineRule="atLeast"/>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6170" cy="8705850"/>
            <wp:effectExtent l="0" t="0" r="11430" b="6350"/>
            <wp:docPr id="3" name="图片 3" descr="fbd7671418b7739fc4c11c363a0d4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d7671418b7739fc4c11c363a0d4c7"/>
                    <pic:cNvPicPr>
                      <a:picLocks noChangeAspect="1"/>
                    </pic:cNvPicPr>
                  </pic:nvPicPr>
                  <pic:blipFill>
                    <a:blip r:embed="rId11"/>
                    <a:stretch>
                      <a:fillRect/>
                    </a:stretch>
                  </pic:blipFill>
                  <pic:spPr>
                    <a:xfrm>
                      <a:off x="0" y="0"/>
                      <a:ext cx="6186170" cy="8705850"/>
                    </a:xfrm>
                    <a:prstGeom prst="rect">
                      <a:avLst/>
                    </a:prstGeom>
                  </pic:spPr>
                </pic:pic>
              </a:graphicData>
            </a:graphic>
          </wp:inline>
        </w:drawing>
      </w:r>
      <w:bookmarkStart w:id="16" w:name="_GoBack"/>
      <w:bookmarkEnd w:id="16"/>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24829"/>
    <w:multiLevelType w:val="singleLevel"/>
    <w:tmpl w:val="884248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6BD43EC"/>
    <w:rsid w:val="7A514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2020-09-08T02:37:08Z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